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288"/>
        <w:jc w:val="center"/>
        <w:rPr/>
      </w:pPr>
      <w:r>
        <w:rPr>
          <w:rFonts w:cs="Arial" w:ascii="Arial" w:hAnsi="Arial"/>
          <w:b/>
          <w:bCs/>
          <w:color w:val="000000" w:themeColor="text1"/>
          <w:sz w:val="20"/>
          <w:szCs w:val="20"/>
        </w:rPr>
        <w:t>MODELO DE TERMO DE CONTRATO</w:t>
        <w:br/>
        <w:t>Lei nº 14.133, de 1º de abril de 2021</w:t>
        <w:br/>
        <w:t>SERVIÇOS – LICITAÇÃO</w:t>
      </w:r>
    </w:p>
    <w:p>
      <w:pPr>
        <w:pStyle w:val="Normal"/>
        <w:spacing w:lineRule="auto" w:line="276" w:before="120" w:after="288"/>
        <w:ind w:firstLine="709"/>
        <w:jc w:val="center"/>
        <w:rPr>
          <w:rFonts w:ascii="Arial" w:hAnsi="Arial" w:cs="Arial"/>
          <w:b/>
          <w:b/>
          <w:color w:val="000000" w:themeColor="text1"/>
          <w:sz w:val="20"/>
          <w:szCs w:val="20"/>
        </w:rPr>
      </w:pPr>
      <w:r>
        <w:rPr/>
        <w:drawing>
          <wp:inline distT="0" distB="0" distL="0" distR="0">
            <wp:extent cx="792480" cy="822960"/>
            <wp:effectExtent l="0" t="0" r="0" b="0"/>
            <wp:docPr id="1"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descr=""/>
                    <pic:cNvPicPr>
                      <a:picLocks noChangeAspect="1" noChangeArrowheads="1"/>
                    </pic:cNvPicPr>
                  </pic:nvPicPr>
                  <pic:blipFill>
                    <a:blip r:embed="rId2"/>
                    <a:stretch>
                      <a:fillRect/>
                    </a:stretch>
                  </pic:blipFill>
                  <pic:spPr bwMode="auto">
                    <a:xfrm>
                      <a:off x="0" y="0"/>
                      <a:ext cx="792480" cy="822960"/>
                    </a:xfrm>
                    <a:prstGeom prst="rect">
                      <a:avLst/>
                    </a:prstGeom>
                  </pic:spPr>
                </pic:pic>
              </a:graphicData>
            </a:graphic>
          </wp:inline>
        </w:drawing>
      </w:r>
    </w:p>
    <w:p>
      <w:pPr>
        <w:pStyle w:val="Normal"/>
        <w:tabs>
          <w:tab w:val="clear" w:pos="708"/>
          <w:tab w:val="left" w:pos="3723" w:leader="none"/>
        </w:tabs>
        <w:jc w:val="center"/>
        <w:rPr/>
      </w:pPr>
      <w:r>
        <w:rPr>
          <w:rFonts w:cs="Arial" w:ascii="Calibri" w:hAnsi="Calibri"/>
          <w:b/>
          <w:i w:val="false"/>
          <w:iCs w:val="false"/>
          <w:color w:val="000000"/>
          <w:sz w:val="20"/>
          <w:szCs w:val="20"/>
          <w:shd w:fill="FFFFFF" w:val="clear"/>
        </w:rPr>
        <w:t xml:space="preserve">               </w:t>
      </w:r>
      <w:r>
        <w:rPr>
          <w:rFonts w:cs="Arial" w:ascii="Calibri" w:hAnsi="Calibri"/>
          <w:b/>
          <w:i w:val="false"/>
          <w:iCs w:val="false"/>
          <w:color w:val="000000"/>
          <w:sz w:val="20"/>
          <w:szCs w:val="20"/>
          <w:shd w:fill="FFFFFF" w:val="clear"/>
        </w:rPr>
        <w:t>ANEXO III</w:t>
      </w:r>
    </w:p>
    <w:p>
      <w:pPr>
        <w:pStyle w:val="Normal"/>
        <w:ind w:right="-17" w:hanging="0"/>
        <w:jc w:val="center"/>
        <w:rPr/>
      </w:pPr>
      <w:r>
        <w:rPr>
          <w:rFonts w:cs="Arial" w:ascii="Calibri" w:hAnsi="Calibri"/>
          <w:b/>
          <w:color w:val="000000"/>
          <w:sz w:val="20"/>
          <w:szCs w:val="20"/>
          <w:shd w:fill="FFFFFF" w:val="clear"/>
        </w:rPr>
        <w:t xml:space="preserve">          </w:t>
      </w:r>
      <w:r>
        <w:rPr>
          <w:rFonts w:cs="Arial" w:ascii="Calibri" w:hAnsi="Calibri"/>
          <w:b/>
          <w:color w:val="000000"/>
          <w:sz w:val="20"/>
          <w:szCs w:val="20"/>
          <w:shd w:fill="FFFFFF" w:val="clear"/>
        </w:rPr>
        <w:t>MINUTA DO TERMO DE CONTRATO</w:t>
      </w:r>
    </w:p>
    <w:p>
      <w:pPr>
        <w:pStyle w:val="Normal"/>
        <w:ind w:right="-17" w:hanging="0"/>
        <w:jc w:val="center"/>
        <w:rPr>
          <w:rFonts w:ascii="Calibri" w:hAnsi="Calibri" w:cs="Arial"/>
          <w:b/>
          <w:b/>
          <w:color w:val="000000"/>
          <w:sz w:val="20"/>
          <w:szCs w:val="20"/>
          <w:shd w:fill="FFFFFF" w:val="clear"/>
        </w:rPr>
      </w:pPr>
      <w:r>
        <w:rPr>
          <w:rFonts w:cs="Arial" w:ascii="Calibri" w:hAnsi="Calibri"/>
          <w:b/>
          <w:color w:val="000000"/>
          <w:sz w:val="20"/>
          <w:szCs w:val="20"/>
          <w:shd w:fill="FFFFFF" w:val="clear"/>
        </w:rPr>
      </w:r>
    </w:p>
    <w:p>
      <w:pPr>
        <w:pStyle w:val="Normal"/>
        <w:ind w:right="-17" w:hanging="0"/>
        <w:jc w:val="center"/>
        <w:rPr>
          <w:rFonts w:ascii="Calibri" w:hAnsi="Calibri"/>
          <w:color w:val="000000"/>
          <w:sz w:val="20"/>
          <w:szCs w:val="20"/>
          <w:highlight w:val="none"/>
          <w:shd w:fill="FFFFFF" w:val="clear"/>
        </w:rPr>
      </w:pPr>
      <w:r>
        <w:rPr>
          <w:rFonts w:ascii="Calibri" w:hAnsi="Calibri"/>
          <w:color w:val="000000"/>
          <w:sz w:val="20"/>
          <w:szCs w:val="20"/>
          <w:shd w:fill="FFFFFF" w:val="clear"/>
        </w:rPr>
      </w:r>
    </w:p>
    <w:p>
      <w:pPr>
        <w:pStyle w:val="Normal"/>
        <w:jc w:val="center"/>
        <w:rPr/>
      </w:pPr>
      <w:r>
        <w:rPr>
          <w:rFonts w:cs="Arial" w:ascii="Calibri" w:hAnsi="Calibri"/>
          <w:b/>
          <w:i w:val="false"/>
          <w:iCs w:val="false"/>
          <w:color w:val="000000"/>
          <w:sz w:val="20"/>
          <w:szCs w:val="20"/>
          <w:shd w:fill="FFFFFF" w:val="clear"/>
        </w:rPr>
        <w:t xml:space="preserve">             </w:t>
      </w:r>
      <w:r>
        <w:rPr>
          <w:rFonts w:cs="Arial" w:ascii="Calibri" w:hAnsi="Calibri"/>
          <w:b/>
          <w:i w:val="false"/>
          <w:iCs w:val="false"/>
          <w:color w:val="000000"/>
          <w:sz w:val="20"/>
          <w:szCs w:val="20"/>
          <w:shd w:fill="FFFFFF" w:val="clear"/>
        </w:rPr>
        <w:t xml:space="preserve">PREGÃO ELETRÔNICO Nº </w:t>
      </w:r>
      <w:r>
        <w:rPr>
          <w:rFonts w:cs="Arial" w:ascii="Calibri" w:hAnsi="Calibri"/>
          <w:b/>
          <w:i w:val="false"/>
          <w:iCs w:val="false"/>
          <w:color w:val="000000"/>
          <w:sz w:val="20"/>
          <w:szCs w:val="20"/>
          <w:shd w:fill="FFFFFF" w:val="clear"/>
          <w:lang w:eastAsia="pt-BR"/>
        </w:rPr>
        <w:t>20</w:t>
      </w:r>
      <w:r>
        <w:rPr>
          <w:rFonts w:cs="Arial" w:ascii="Calibri" w:hAnsi="Calibri"/>
          <w:b/>
          <w:i w:val="false"/>
          <w:iCs w:val="false"/>
          <w:color w:val="000000"/>
          <w:sz w:val="20"/>
          <w:szCs w:val="20"/>
          <w:shd w:fill="FFFFFF" w:val="clear"/>
        </w:rPr>
        <w:t>/20</w:t>
      </w:r>
      <w:r>
        <w:rPr>
          <w:rFonts w:cs="Arial" w:ascii="Calibri" w:hAnsi="Calibri"/>
          <w:b/>
          <w:i w:val="false"/>
          <w:iCs w:val="false"/>
          <w:color w:val="000000"/>
          <w:sz w:val="20"/>
          <w:szCs w:val="20"/>
          <w:shd w:fill="FFFFFF" w:val="clear"/>
          <w:lang w:eastAsia="pt-BR"/>
        </w:rPr>
        <w:t>23</w:t>
      </w:r>
      <w:r>
        <w:rPr>
          <w:rFonts w:cs="Arial" w:ascii="Calibri" w:hAnsi="Calibri"/>
          <w:b/>
          <w:i w:val="false"/>
          <w:iCs w:val="false"/>
          <w:color w:val="000000"/>
          <w:sz w:val="20"/>
          <w:szCs w:val="20"/>
          <w:shd w:fill="FFFFFF" w:val="clear"/>
        </w:rPr>
        <w:t>.</w:t>
      </w:r>
    </w:p>
    <w:p>
      <w:pPr>
        <w:pStyle w:val="Normal"/>
        <w:ind w:right="-17" w:hanging="0"/>
        <w:jc w:val="center"/>
        <w:rPr/>
      </w:pPr>
      <w:r>
        <w:rPr>
          <w:rFonts w:eastAsia="Times New Roman" w:cs="Arial" w:ascii="Calibri" w:hAnsi="Calibri"/>
          <w:b/>
          <w:bCs/>
          <w:i w:val="false"/>
          <w:iCs w:val="false"/>
          <w:color w:val="000000"/>
          <w:sz w:val="20"/>
          <w:szCs w:val="20"/>
          <w:shd w:fill="FFFFFF" w:val="clear"/>
        </w:rPr>
        <w:t xml:space="preserve">          </w:t>
      </w:r>
      <w:r>
        <w:rPr>
          <w:rFonts w:eastAsia="Times New Roman" w:cs="Arial" w:ascii="Calibri" w:hAnsi="Calibri"/>
          <w:b/>
          <w:bCs/>
          <w:i w:val="false"/>
          <w:iCs w:val="false"/>
          <w:color w:val="000000"/>
          <w:sz w:val="20"/>
          <w:szCs w:val="20"/>
          <w:shd w:fill="FFFFFF" w:val="clear"/>
        </w:rPr>
        <w:t>(Processo Administrativo n°</w:t>
      </w:r>
      <w:r>
        <w:rPr>
          <w:rFonts w:eastAsia="Times New Roman" w:cs="Arial" w:ascii="Calibri" w:hAnsi="Calibri"/>
          <w:b/>
          <w:bCs/>
          <w:i w:val="false"/>
          <w:iCs w:val="false"/>
          <w:color w:val="000000"/>
          <w:kern w:val="0"/>
          <w:sz w:val="20"/>
          <w:szCs w:val="20"/>
          <w:shd w:fill="FFFFFF" w:val="clear"/>
          <w:lang w:val="pt-BR" w:eastAsia="pt-BR" w:bidi="ar-SA"/>
        </w:rPr>
        <w:t xml:space="preserve"> 64005.002383/2023-98)</w:t>
      </w:r>
    </w:p>
    <w:p>
      <w:pPr>
        <w:pStyle w:val="Prembulo"/>
        <w:spacing w:lineRule="auto" w:line="312" w:before="480" w:after="288"/>
        <w:ind w:left="4253" w:right="-170" w:hanging="0"/>
        <w:rPr>
          <w:bCs w:val="false"/>
        </w:rPr>
      </w:pPr>
      <w:r>
        <w:rPr>
          <w:bCs w:val="false"/>
        </w:rPr>
        <w:t xml:space="preserve">CONTRATO ADMINISTRATIVO Nº ......../....,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Times New Roman" w:cs="Arial" w:ascii="Calibri" w:hAnsi="Calibri"/>
          <w:b/>
          <w:bCs/>
          <w:i w:val="false"/>
          <w:iCs w:val="false"/>
          <w:color w:val="000000"/>
          <w:sz w:val="20"/>
          <w:szCs w:val="20"/>
          <w:shd w:fill="FFFFFF" w:val="clear"/>
        </w:rPr>
        <w:t xml:space="preserve">A União, por meio do Arsenal de Guerra de São Paulo, com sede na Rodovia Marechal Rondon, S/Nº, Km 29 – Centro, na cidade de Barueri / SP, inscrito(a) no CNPJ/MF sob o nº 09.570.304/0001-69, neste ato representado pelo Sr. Ten Cel </w:t>
      </w:r>
      <w:r>
        <w:rPr>
          <w:rFonts w:eastAsia="Times New Roman" w:cs="Arial" w:ascii="Calibri" w:hAnsi="Calibri"/>
          <w:b/>
          <w:bCs/>
          <w:i w:val="false"/>
          <w:iCs w:val="false"/>
          <w:caps w:val="false"/>
          <w:smallCaps w:val="false"/>
          <w:color w:val="000000"/>
          <w:spacing w:val="0"/>
          <w:kern w:val="0"/>
          <w:sz w:val="20"/>
          <w:szCs w:val="20"/>
          <w:shd w:fill="FFFFFF" w:val="clear"/>
          <w:lang w:val="pt-BR" w:eastAsia="pt-BR" w:bidi="ar-SA"/>
        </w:rPr>
        <w:t>RIVELINO BARATA DE SOUSA BATISTA</w:t>
      </w:r>
      <w:r>
        <w:rPr>
          <w:rFonts w:eastAsia="Times New Roman" w:cs="Arial" w:ascii="Calibri" w:hAnsi="Calibri"/>
          <w:b/>
          <w:bCs/>
          <w:i w:val="false"/>
          <w:iCs w:val="false"/>
          <w:color w:val="000000"/>
          <w:kern w:val="0"/>
          <w:sz w:val="20"/>
          <w:szCs w:val="20"/>
          <w:shd w:fill="FFFFFF" w:val="clear"/>
          <w:lang w:val="pt-BR" w:eastAsia="pt-BR" w:bidi="ar-SA"/>
        </w:rPr>
        <w:t xml:space="preserve"> – </w:t>
      </w:r>
      <w:r>
        <w:rPr>
          <w:rFonts w:eastAsia="Times New Roman" w:cs="Arial" w:ascii="Calibri" w:hAnsi="Calibri"/>
          <w:b/>
          <w:bCs/>
          <w:i w:val="false"/>
          <w:iCs w:val="false"/>
          <w:color w:val="000000"/>
          <w:sz w:val="20"/>
          <w:szCs w:val="20"/>
          <w:shd w:fill="FFFFFF" w:val="clear"/>
        </w:rPr>
        <w:t xml:space="preserve">Diretor, nomeado pela PORTARIA – C Ex Nº 485, </w:t>
      </w:r>
      <w:r>
        <w:rPr>
          <w:rFonts w:eastAsia="Times New Roman" w:cs="Arial" w:ascii="Calibri" w:hAnsi="Calibri"/>
          <w:b/>
          <w:bCs/>
          <w:i w:val="false"/>
          <w:iCs w:val="false"/>
          <w:color w:val="000000"/>
          <w:kern w:val="0"/>
          <w:sz w:val="20"/>
          <w:szCs w:val="20"/>
          <w:shd w:fill="FFFFFF" w:val="clear"/>
          <w:lang w:val="pt-BR" w:eastAsia="pt-BR" w:bidi="ar-SA"/>
        </w:rPr>
        <w:t>de</w:t>
      </w:r>
      <w:r>
        <w:rPr>
          <w:rFonts w:eastAsia="Times New Roman" w:cs="Arial" w:ascii="Calibri" w:hAnsi="Calibri"/>
          <w:b/>
          <w:bCs/>
          <w:i w:val="false"/>
          <w:iCs w:val="false"/>
          <w:color w:val="000000"/>
          <w:sz w:val="20"/>
          <w:szCs w:val="20"/>
          <w:shd w:fill="FFFFFF" w:val="clear"/>
        </w:rPr>
        <w:t xml:space="preserve"> 12 de </w:t>
      </w:r>
      <w:r>
        <w:rPr>
          <w:rFonts w:eastAsia="Times New Roman" w:cs="Arial" w:ascii="Calibri" w:hAnsi="Calibri"/>
          <w:b/>
          <w:bCs/>
          <w:i w:val="false"/>
          <w:iCs w:val="false"/>
          <w:color w:val="000000"/>
          <w:kern w:val="0"/>
          <w:sz w:val="20"/>
          <w:szCs w:val="20"/>
          <w:shd w:fill="FFFFFF" w:val="clear"/>
          <w:lang w:val="pt-BR" w:eastAsia="pt-BR" w:bidi="ar-SA"/>
        </w:rPr>
        <w:t>maio</w:t>
      </w:r>
      <w:r>
        <w:rPr>
          <w:rFonts w:eastAsia="Times New Roman" w:cs="Arial" w:ascii="Calibri" w:hAnsi="Calibri"/>
          <w:b/>
          <w:bCs/>
          <w:i w:val="false"/>
          <w:iCs w:val="false"/>
          <w:color w:val="000000"/>
          <w:sz w:val="20"/>
          <w:szCs w:val="20"/>
          <w:shd w:fill="FFFFFF" w:val="clear"/>
        </w:rPr>
        <w:t xml:space="preserve"> </w:t>
      </w:r>
      <w:r>
        <w:rPr>
          <w:rFonts w:eastAsia="Times New Roman" w:cs="Arial" w:ascii="Calibri" w:hAnsi="Calibri"/>
          <w:b/>
          <w:bCs/>
          <w:i w:val="false"/>
          <w:iCs w:val="false"/>
          <w:color w:val="000000"/>
          <w:kern w:val="0"/>
          <w:sz w:val="20"/>
          <w:szCs w:val="20"/>
          <w:shd w:fill="FFFFFF" w:val="clear"/>
          <w:lang w:val="pt-BR" w:eastAsia="pt-BR" w:bidi="ar-SA"/>
        </w:rPr>
        <w:t>de</w:t>
      </w:r>
      <w:r>
        <w:rPr>
          <w:rFonts w:eastAsia="Times New Roman" w:cs="Arial" w:ascii="Calibri" w:hAnsi="Calibri"/>
          <w:b/>
          <w:bCs/>
          <w:i w:val="false"/>
          <w:iCs w:val="false"/>
          <w:color w:val="000000"/>
          <w:sz w:val="20"/>
          <w:szCs w:val="20"/>
          <w:shd w:fill="FFFFFF" w:val="clear"/>
        </w:rPr>
        <w:t xml:space="preserve"> 2022 , publicado no D.O.U de </w:t>
      </w:r>
      <w:r>
        <w:rPr>
          <w:rFonts w:eastAsia="Times New Roman" w:cs="Arial" w:ascii="Calibri" w:hAnsi="Calibri"/>
          <w:b/>
          <w:bCs/>
          <w:i w:val="false"/>
          <w:iCs w:val="false"/>
          <w:color w:val="000000"/>
          <w:kern w:val="0"/>
          <w:sz w:val="20"/>
          <w:szCs w:val="20"/>
          <w:shd w:fill="FFFFFF" w:val="clear"/>
          <w:lang w:val="pt-BR" w:eastAsia="pt-BR" w:bidi="ar-SA"/>
        </w:rPr>
        <w:t>16</w:t>
      </w:r>
      <w:r>
        <w:rPr>
          <w:rFonts w:eastAsia="Times New Roman" w:cs="Arial" w:ascii="Calibri" w:hAnsi="Calibri"/>
          <w:b/>
          <w:bCs/>
          <w:i w:val="false"/>
          <w:iCs w:val="false"/>
          <w:color w:val="000000"/>
          <w:sz w:val="20"/>
          <w:szCs w:val="20"/>
          <w:shd w:fill="FFFFFF" w:val="clear"/>
        </w:rPr>
        <w:t xml:space="preserve"> de </w:t>
      </w:r>
      <w:r>
        <w:rPr>
          <w:rFonts w:eastAsia="Times New Roman" w:cs="Arial" w:ascii="Calibri" w:hAnsi="Calibri"/>
          <w:b/>
          <w:bCs/>
          <w:i w:val="false"/>
          <w:iCs w:val="false"/>
          <w:color w:val="000000"/>
          <w:kern w:val="0"/>
          <w:sz w:val="20"/>
          <w:szCs w:val="20"/>
          <w:shd w:fill="FFFFFF" w:val="clear"/>
          <w:lang w:val="pt-BR" w:eastAsia="pt-BR" w:bidi="ar-SA"/>
        </w:rPr>
        <w:t>maio</w:t>
      </w:r>
      <w:r>
        <w:rPr>
          <w:rFonts w:eastAsia="Times New Roman" w:cs="Arial" w:ascii="Calibri" w:hAnsi="Calibri"/>
          <w:b/>
          <w:bCs/>
          <w:i w:val="false"/>
          <w:iCs w:val="false"/>
          <w:color w:val="000000"/>
          <w:sz w:val="20"/>
          <w:szCs w:val="20"/>
          <w:shd w:fill="FFFFFF" w:val="clear"/>
        </w:rPr>
        <w:t xml:space="preserve"> de 2022, inscrito no CPF sob o nº </w:t>
      </w:r>
      <w:r>
        <w:rPr>
          <w:rFonts w:eastAsia="Times New Roman" w:cs="Arial" w:ascii="Calibri" w:hAnsi="Calibri"/>
          <w:b/>
          <w:bCs/>
          <w:i w:val="false"/>
          <w:iCs w:val="false"/>
          <w:color w:val="000000"/>
          <w:kern w:val="0"/>
          <w:sz w:val="20"/>
          <w:szCs w:val="20"/>
          <w:shd w:fill="FFFFFF" w:val="clear"/>
          <w:lang w:val="pt-BR" w:eastAsia="pt-BR" w:bidi="ar-SA"/>
        </w:rPr>
        <w:t>742.229.533-34</w:t>
      </w:r>
      <w:r>
        <w:rPr>
          <w:rFonts w:eastAsia="Times New Roman" w:cs="Arial" w:ascii="Calibri" w:hAnsi="Calibri"/>
          <w:b/>
          <w:bCs/>
          <w:i w:val="false"/>
          <w:iCs w:val="false"/>
          <w:color w:val="000000"/>
          <w:sz w:val="20"/>
          <w:szCs w:val="20"/>
          <w:shd w:fill="FFFFFF" w:val="clear"/>
        </w:rPr>
        <w:t xml:space="preserve"> portador da Carteira de Identidade nº 01154-226-44, Ministério da Defesa,</w:t>
      </w:r>
      <w:r>
        <w:rPr>
          <w:rFonts w:eastAsia="Arial" w:cs="Arial" w:ascii="Arial" w:hAnsi="Arial"/>
          <w:sz w:val="20"/>
          <w:szCs w:val="20"/>
        </w:rPr>
        <w:t xml:space="preserve">, doravante denominado CONTRATANTE, e o(a) </w:t>
      </w:r>
      <w:r>
        <w:rPr>
          <w:rFonts w:eastAsia="Arial" w:cs="Arial" w:ascii="Arial" w:hAnsi="Arial"/>
          <w:color w:val="FF0000"/>
          <w:sz w:val="20"/>
          <w:szCs w:val="20"/>
        </w:rPr>
        <w:t>.</w:t>
      </w:r>
      <w:r>
        <w:rPr>
          <w:rFonts w:eastAsia="Times New Roman" w:cs="Arial" w:ascii="Calibri" w:hAnsi="Calibri"/>
          <w:b w:val="false"/>
          <w:bCs w:val="false"/>
          <w:i w:val="false"/>
          <w:iCs w:val="false"/>
          <w:color w:val="000000"/>
          <w:sz w:val="20"/>
          <w:szCs w:val="20"/>
          <w:shd w:fill="FFFFFF" w:val="clear"/>
          <w:lang w:eastAsia="pt-BR"/>
        </w:rPr>
        <w:t>............................., inscrito(a) no CNPJ/MF sob o nº ............................, sediado(a) na ..................................., em ............................. doravante designado CONTRATADO, neste ato representado(a) por .................................. (nome e função no contratado), conforme atos constitutivos da empresa OU procuração apresentada nos autos, tendo em vista o que consta no Processo nº .............................. e em observância às disposições da Lei nº 14.133, de 1º de abril de 2021, e demais legislação aplicável, resolvem celebrar o presente Termo de Contrato, decorrente do</w:t>
      </w:r>
      <w:r>
        <w:rPr>
          <w:rFonts w:eastAsia="Times New Roman" w:cs="Arial" w:ascii="Calibri" w:hAnsi="Calibri"/>
          <w:b/>
          <w:bCs/>
          <w:i w:val="false"/>
          <w:iCs w:val="false"/>
          <w:color w:val="000000"/>
          <w:sz w:val="20"/>
          <w:szCs w:val="20"/>
          <w:shd w:fill="FFFFFF" w:val="clear"/>
          <w:lang w:eastAsia="pt-BR"/>
        </w:rPr>
        <w:t xml:space="preserve"> PREGÃO ELETRÔNICO Nº 20/23,</w:t>
      </w:r>
      <w:r>
        <w:rPr>
          <w:rFonts w:eastAsia="Times New Roman" w:cs="Arial" w:ascii="Calibri" w:hAnsi="Calibri"/>
          <w:b w:val="false"/>
          <w:bCs w:val="false"/>
          <w:i w:val="false"/>
          <w:iCs w:val="false"/>
          <w:color w:val="000000"/>
          <w:sz w:val="20"/>
          <w:szCs w:val="20"/>
          <w:shd w:fill="FFFFFF" w:val="clear"/>
          <w:lang w:eastAsia="pt-BR"/>
        </w:rPr>
        <w:t xml:space="preserve"> mediante as cláusulas e condições a seguir enunciadas.</w:t>
      </w:r>
    </w:p>
    <w:p>
      <w:pPr>
        <w:pStyle w:val="Nivel01"/>
        <w:numPr>
          <w:ilvl w:val="0"/>
          <w:numId w:val="146"/>
        </w:numPr>
        <w:rPr/>
      </w:pPr>
      <w:r>
        <w:rPr>
          <w:rFonts w:eastAsia="Times New Roman" w:cs="Arial" w:ascii="Calibri" w:hAnsi="Calibri"/>
          <w:b/>
          <w:bCs/>
          <w:i w:val="false"/>
          <w:iCs w:val="false"/>
          <w:color w:val="000000"/>
          <w:sz w:val="20"/>
          <w:szCs w:val="20"/>
          <w:shd w:fill="FFFFFF" w:val="clear"/>
          <w:lang w:eastAsia="pt-BR"/>
        </w:rPr>
        <w:t>CLÁUSULA PRIMEIRA – OBJETO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I e II</w:t>
      </w:r>
      <w:r>
        <w:rPr>
          <w:rStyle w:val="LinkdaInternet"/>
          <w:sz w:val="20"/>
          <w:i w:val="false"/>
          <w:b/>
          <w:shd w:fill="FFFFFF" w:val="clear"/>
          <w:szCs w:val="20"/>
          <w:iCs w:val="false"/>
          <w:bCs/>
          <w:rFonts w:eastAsia="Times New Roman" w:cs="Arial" w:ascii="Calibri" w:hAnsi="Calibri"/>
          <w:color w:val="000000"/>
          <w:lang w:eastAsia="pt-BR"/>
        </w:rPr>
        <w:fldChar w:fldCharType="end"/>
      </w:r>
      <w:r>
        <w:rPr>
          <w:rFonts w:eastAsia="Times New Roman" w:cs="Arial" w:ascii="Calibri" w:hAnsi="Calibri"/>
          <w:b/>
          <w:bCs/>
          <w:i w:val="false"/>
          <w:iCs w:val="false"/>
          <w:color w:val="000000"/>
          <w:sz w:val="20"/>
          <w:szCs w:val="20"/>
          <w:shd w:fill="FFFFFF" w:val="clear"/>
          <w:lang w:eastAsia="pt-BR"/>
        </w:rPr>
        <w:t>)</w:t>
      </w:r>
    </w:p>
    <w:p>
      <w:pPr>
        <w:pStyle w:val="Nivel2"/>
        <w:numPr>
          <w:ilvl w:val="1"/>
          <w:numId w:val="147"/>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objeto do presente instrumento é a contratação de</w:t>
      </w:r>
      <w:r>
        <w:rPr>
          <w:rFonts w:eastAsia="Times New Roman" w:cs="Arial" w:ascii="Calibri" w:hAnsi="Calibri"/>
          <w:b w:val="false"/>
          <w:bCs w:val="false"/>
          <w:i w:val="false"/>
          <w:iCs w:val="false"/>
          <w:color w:val="000000"/>
          <w:sz w:val="20"/>
          <w:szCs w:val="20"/>
          <w:shd w:fill="auto" w:val="clear"/>
          <w:lang w:eastAsia="pt-BR"/>
        </w:rPr>
        <w:t xml:space="preserve"> </w:t>
      </w:r>
      <w:r>
        <w:rPr>
          <w:rFonts w:eastAsia="Times New Roman" w:cs="Arial" w:ascii="Calibri" w:hAnsi="Calibri"/>
          <w:b/>
          <w:bCs/>
          <w:i w:val="false"/>
          <w:iCs w:val="false"/>
          <w:color w:val="000000"/>
          <w:sz w:val="20"/>
          <w:szCs w:val="20"/>
          <w:shd w:fill="auto" w:val="clear"/>
          <w:lang w:eastAsia="pt-BR"/>
        </w:rPr>
        <w:t>SERVIÇOS COMUNS DE C</w:t>
      </w:r>
      <w:r>
        <w:rPr>
          <w:rFonts w:eastAsia="Times New Roman" w:cs="Arial" w:ascii="Calibri" w:hAnsi="Calibri"/>
          <w:b/>
          <w:bCs/>
          <w:i w:val="false"/>
          <w:iCs w:val="false"/>
          <w:color w:val="000000"/>
          <w:sz w:val="20"/>
          <w:szCs w:val="20"/>
          <w:shd w:fill="FFFFFF" w:val="clear"/>
          <w:lang w:eastAsia="pt-BR"/>
        </w:rPr>
        <w:t xml:space="preserve">OSTURA E PANAGEM DE REDE CAMUFLAGEM </w:t>
      </w:r>
      <w:r>
        <w:rPr>
          <w:rFonts w:eastAsia="Times New Roman" w:cs="Arial" w:ascii="Calibri" w:hAnsi="Calibri"/>
          <w:b w:val="false"/>
          <w:bCs w:val="false"/>
          <w:i w:val="false"/>
          <w:iCs w:val="false"/>
          <w:color w:val="000000"/>
          <w:sz w:val="20"/>
          <w:szCs w:val="20"/>
          <w:shd w:fill="FFFFFF" w:val="clear"/>
          <w:lang w:eastAsia="pt-BR"/>
        </w:rPr>
        <w:t>, nas condições estabelecidas no Termo de Referência.</w:t>
      </w:r>
    </w:p>
    <w:p>
      <w:pPr>
        <w:pStyle w:val="Nivel2"/>
        <w:numPr>
          <w:ilvl w:val="1"/>
          <w:numId w:val="148"/>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Objeto da contratação:</w:t>
      </w:r>
    </w:p>
    <w:tbl>
      <w:tblPr>
        <w:tblW w:w="9784"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993"/>
        <w:gridCol w:w="2553"/>
        <w:gridCol w:w="1277"/>
        <w:gridCol w:w="1135"/>
        <w:gridCol w:w="1561"/>
        <w:gridCol w:w="1275"/>
        <w:gridCol w:w="989"/>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ITEM</w:t>
            </w:r>
          </w:p>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CATSER</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UNIDADE DE MEDIDA</w:t>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QUANTIDADE</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VALOR UNITÁRIO</w:t>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2</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3</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tc>
      </w:tr>
    </w:tbl>
    <w:p>
      <w:pPr>
        <w:pStyle w:val="Nivel2"/>
        <w:numPr>
          <w:ilvl w:val="1"/>
          <w:numId w:val="149"/>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Vinculam esta contratação, independentemente de transcrição:</w:t>
      </w:r>
    </w:p>
    <w:p>
      <w:pPr>
        <w:pStyle w:val="Nivel3"/>
        <w:numPr>
          <w:ilvl w:val="2"/>
          <w:numId w:val="150"/>
        </w:numPr>
        <w:ind w:left="284"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Termo de Referência;</w:t>
      </w:r>
    </w:p>
    <w:p>
      <w:pPr>
        <w:pStyle w:val="Nivel3"/>
        <w:numPr>
          <w:ilvl w:val="2"/>
          <w:numId w:val="151"/>
        </w:numPr>
        <w:ind w:left="284"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Edital da Licitação;</w:t>
      </w:r>
    </w:p>
    <w:p>
      <w:pPr>
        <w:pStyle w:val="Nivel3"/>
        <w:numPr>
          <w:ilvl w:val="2"/>
          <w:numId w:val="152"/>
        </w:numPr>
        <w:ind w:left="284"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A Proposta do contratado;</w:t>
      </w:r>
    </w:p>
    <w:p>
      <w:pPr>
        <w:pStyle w:val="Nivel3"/>
        <w:numPr>
          <w:ilvl w:val="2"/>
          <w:numId w:val="153"/>
        </w:numPr>
        <w:ind w:left="284"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Eventuais anexos dos documentos supracitados.</w:t>
      </w:r>
    </w:p>
    <w:p>
      <w:pPr>
        <w:pStyle w:val="Nivel01"/>
        <w:numPr>
          <w:ilvl w:val="0"/>
          <w:numId w:val="154"/>
        </w:numPr>
        <w:ind w:left="0" w:hanging="0"/>
        <w:rPr>
          <w:rFonts w:ascii="Calibri" w:hAnsi="Calibri" w:eastAsia="Times New Roman" w:cs="Arial"/>
          <w:b/>
          <w:b/>
          <w:bCs/>
          <w:i w:val="false"/>
          <w:i w:val="false"/>
          <w:iCs w:val="false"/>
          <w:color w:val="000000"/>
          <w:sz w:val="20"/>
          <w:szCs w:val="20"/>
          <w:shd w:fill="FFFFFF" w:val="clear"/>
          <w:lang w:eastAsia="pt-BR"/>
        </w:rPr>
      </w:pPr>
      <w:r>
        <w:rPr>
          <w:rFonts w:eastAsia="Times New Roman" w:cs="Arial" w:ascii="Calibri" w:hAnsi="Calibri"/>
          <w:b/>
          <w:bCs/>
          <w:i w:val="false"/>
          <w:iCs w:val="false"/>
          <w:color w:val="000000"/>
          <w:sz w:val="20"/>
          <w:szCs w:val="20"/>
          <w:shd w:fill="FFFFFF" w:val="clear"/>
          <w:lang w:eastAsia="pt-BR"/>
        </w:rPr>
        <w:t>CLÁUSULA SEGUNDA – VIGÊNCIA E PRORROGAÇÃO</w:t>
      </w:r>
    </w:p>
    <w:p>
      <w:pPr>
        <w:pStyle w:val="Nvel2Red"/>
        <w:numPr>
          <w:ilvl w:val="1"/>
          <w:numId w:val="155"/>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prazo de vigência da contratação é de .............................. contados do(a) ............................., na forma do artigo 105 da Lei n° 14.133, de 2021.</w:t>
      </w:r>
    </w:p>
    <w:p>
      <w:pPr>
        <w:pStyle w:val="Nvel2Red"/>
        <w:numPr>
          <w:ilvl w:val="1"/>
          <w:numId w:val="156"/>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Ou"/>
        <w:rPr>
          <w:highlight w:val="yellow"/>
        </w:rPr>
      </w:pPr>
      <w:r>
        <w:rPr>
          <w:highlight w:val="yellow"/>
        </w:rPr>
      </w:r>
    </w:p>
    <w:p>
      <w:pPr>
        <w:pStyle w:val="Nivel01"/>
        <w:numPr>
          <w:ilvl w:val="0"/>
          <w:numId w:val="157"/>
        </w:numPr>
        <w:ind w:left="0" w:hanging="0"/>
        <w:rPr/>
      </w:pPr>
      <w:bookmarkStart w:id="0" w:name="_Hlk114497577"/>
      <w:bookmarkStart w:id="1" w:name="_Hlk114497502"/>
      <w:bookmarkEnd w:id="0"/>
      <w:bookmarkEnd w:id="1"/>
      <w:r>
        <w:rPr>
          <w:rFonts w:eastAsia="Times New Roman" w:cs="Arial" w:ascii="Calibri" w:hAnsi="Calibri"/>
          <w:b/>
          <w:bCs/>
          <w:i w:val="false"/>
          <w:iCs w:val="false"/>
          <w:color w:val="000000"/>
          <w:sz w:val="20"/>
          <w:szCs w:val="20"/>
          <w:shd w:fill="FFFFFF" w:val="clear"/>
          <w:lang w:eastAsia="pt-BR"/>
        </w:rPr>
        <w:t>CLÁUSULA TERCEIRA – MODELOS DE EXECUÇÃO E GESTÃO CONTRATUAIS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IV, VII e XVIII)</w:t>
      </w:r>
      <w:r>
        <w:rPr>
          <w:rStyle w:val="LinkdaInternet"/>
          <w:sz w:val="20"/>
          <w:i w:val="false"/>
          <w:b/>
          <w:shd w:fill="FFFFFF" w:val="clear"/>
          <w:szCs w:val="20"/>
          <w:iCs w:val="false"/>
          <w:bCs/>
          <w:rFonts w:eastAsia="Times New Roman" w:cs="Arial" w:ascii="Calibri" w:hAnsi="Calibri"/>
          <w:color w:val="000000"/>
          <w:lang w:eastAsia="pt-BR"/>
        </w:rPr>
        <w:fldChar w:fldCharType="end"/>
      </w:r>
    </w:p>
    <w:p>
      <w:pPr>
        <w:pStyle w:val="Nivel2"/>
        <w:numPr>
          <w:ilvl w:val="1"/>
          <w:numId w:val="158"/>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59"/>
        </w:numPr>
        <w:ind w:left="0" w:hanging="0"/>
        <w:rPr>
          <w:rFonts w:ascii="Calibri" w:hAnsi="Calibri" w:eastAsia="Times New Roman" w:cs="Arial"/>
          <w:b/>
          <w:b/>
          <w:bCs/>
          <w:i w:val="false"/>
          <w:i w:val="false"/>
          <w:iCs w:val="false"/>
          <w:color w:val="000000"/>
          <w:sz w:val="20"/>
          <w:szCs w:val="20"/>
          <w:shd w:fill="FFFFFF" w:val="clear"/>
          <w:lang w:eastAsia="pt-BR"/>
        </w:rPr>
      </w:pPr>
      <w:r>
        <w:rPr>
          <w:rFonts w:eastAsia="Times New Roman" w:cs="Arial" w:ascii="Calibri" w:hAnsi="Calibri"/>
          <w:b/>
          <w:bCs/>
          <w:i w:val="false"/>
          <w:iCs w:val="false"/>
          <w:color w:val="000000"/>
          <w:sz w:val="20"/>
          <w:szCs w:val="20"/>
          <w:shd w:fill="FFFFFF" w:val="clear"/>
          <w:lang w:eastAsia="pt-BR"/>
        </w:rPr>
        <w:t>CLÁUSULA QUARTA – SUBCONTRATAÇÃO</w:t>
      </w:r>
    </w:p>
    <w:p>
      <w:pPr>
        <w:pStyle w:val="Nvel2Red"/>
        <w:numPr>
          <w:ilvl w:val="1"/>
          <w:numId w:val="160"/>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Não será admitida a subcontratação do objeto contratual.</w:t>
      </w:r>
    </w:p>
    <w:p>
      <w:pPr>
        <w:pStyle w:val="Nivel01"/>
        <w:numPr>
          <w:ilvl w:val="0"/>
          <w:numId w:val="161"/>
        </w:numPr>
        <w:ind w:left="0" w:hanging="0"/>
        <w:rPr/>
      </w:pPr>
      <w:r>
        <w:rPr>
          <w:rFonts w:eastAsia="Times New Roman" w:cs="Arial" w:ascii="Calibri" w:hAnsi="Calibri"/>
          <w:b/>
          <w:bCs/>
          <w:i w:val="false"/>
          <w:iCs w:val="false"/>
          <w:color w:val="000000"/>
          <w:sz w:val="20"/>
          <w:szCs w:val="20"/>
          <w:shd w:fill="FFFFFF" w:val="clear"/>
          <w:lang w:eastAsia="pt-BR"/>
        </w:rPr>
        <w:t>CLÁUSULA QUINTA – PREÇO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V</w:t>
      </w:r>
      <w:r>
        <w:rPr>
          <w:rStyle w:val="LinkdaInternet"/>
          <w:sz w:val="20"/>
          <w:i w:val="false"/>
          <w:b/>
          <w:shd w:fill="FFFFFF" w:val="clear"/>
          <w:szCs w:val="20"/>
          <w:iCs w:val="false"/>
          <w:bCs/>
          <w:rFonts w:eastAsia="Times New Roman" w:cs="Arial" w:ascii="Calibri" w:hAnsi="Calibri"/>
          <w:color w:val="000000"/>
          <w:lang w:eastAsia="pt-BR"/>
        </w:rPr>
        <w:fldChar w:fldCharType="end"/>
      </w:r>
      <w:r>
        <w:rPr>
          <w:rFonts w:eastAsia="Times New Roman" w:cs="Arial" w:ascii="Calibri" w:hAnsi="Calibri"/>
          <w:b/>
          <w:bCs/>
          <w:i w:val="false"/>
          <w:iCs w:val="false"/>
          <w:color w:val="000000"/>
          <w:sz w:val="20"/>
          <w:szCs w:val="20"/>
          <w:shd w:fill="FFFFFF" w:val="clear"/>
          <w:lang w:eastAsia="pt-BR"/>
        </w:rPr>
        <w:t>)</w:t>
      </w:r>
    </w:p>
    <w:p>
      <w:pPr>
        <w:pStyle w:val="Nvel2Red"/>
        <w:numPr>
          <w:ilvl w:val="1"/>
          <w:numId w:val="162"/>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valor total da contratação é de R$.......... (.....)</w:t>
      </w:r>
    </w:p>
    <w:p>
      <w:pPr>
        <w:pStyle w:val="Nivel2"/>
        <w:numPr>
          <w:ilvl w:val="1"/>
          <w:numId w:val="163"/>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64"/>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valor acima é meramente estimativo, de forma que os pagamentos devidos ao contratado dependerão dos quantitativos efetivamente fornecidos.</w:t>
      </w:r>
    </w:p>
    <w:p>
      <w:pPr>
        <w:pStyle w:val="Nivel01"/>
        <w:numPr>
          <w:ilvl w:val="0"/>
          <w:numId w:val="165"/>
        </w:numPr>
        <w:ind w:left="0" w:hanging="0"/>
        <w:rPr/>
      </w:pPr>
      <w:r>
        <w:rPr>
          <w:rFonts w:eastAsia="Times New Roman" w:cs="Arial" w:ascii="Calibri" w:hAnsi="Calibri"/>
          <w:b/>
          <w:bCs/>
          <w:i w:val="false"/>
          <w:iCs w:val="false"/>
          <w:color w:val="000000"/>
          <w:sz w:val="20"/>
          <w:szCs w:val="20"/>
          <w:shd w:fill="FFFFFF" w:val="clear"/>
          <w:lang w:eastAsia="pt-BR"/>
        </w:rPr>
        <w:t>CLÁUSULA SEXTA - PAGAMENTO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V e VI</w:t>
      </w:r>
      <w:r>
        <w:rPr>
          <w:rStyle w:val="LinkdaInternet"/>
          <w:sz w:val="20"/>
          <w:i w:val="false"/>
          <w:b/>
          <w:shd w:fill="FFFFFF" w:val="clear"/>
          <w:szCs w:val="20"/>
          <w:iCs w:val="false"/>
          <w:bCs/>
          <w:rFonts w:eastAsia="Times New Roman" w:cs="Arial" w:ascii="Calibri" w:hAnsi="Calibri"/>
          <w:color w:val="000000"/>
          <w:lang w:eastAsia="pt-BR"/>
        </w:rPr>
        <w:fldChar w:fldCharType="end"/>
      </w:r>
      <w:r>
        <w:rPr>
          <w:rFonts w:eastAsia="Times New Roman" w:cs="Arial" w:ascii="Calibri" w:hAnsi="Calibri"/>
          <w:b/>
          <w:bCs/>
          <w:i w:val="false"/>
          <w:iCs w:val="false"/>
          <w:color w:val="000000"/>
          <w:sz w:val="20"/>
          <w:szCs w:val="20"/>
          <w:shd w:fill="FFFFFF" w:val="clear"/>
          <w:lang w:eastAsia="pt-BR"/>
        </w:rPr>
        <w:t>)</w:t>
      </w:r>
    </w:p>
    <w:p>
      <w:pPr>
        <w:pStyle w:val="Nivel2"/>
        <w:numPr>
          <w:ilvl w:val="1"/>
          <w:numId w:val="166"/>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prazo para pagamento ao contratado e demais condições a ele referentes encontram-se definidos no Termo de Referência, anexo a este Contrato.</w:t>
      </w:r>
    </w:p>
    <w:p>
      <w:pPr>
        <w:pStyle w:val="Nivel01"/>
        <w:numPr>
          <w:ilvl w:val="0"/>
          <w:numId w:val="167"/>
        </w:numPr>
        <w:ind w:left="0" w:hanging="0"/>
        <w:rPr/>
      </w:pPr>
      <w:r>
        <w:rPr>
          <w:rFonts w:eastAsia="Times New Roman" w:cs="Arial" w:ascii="Calibri" w:hAnsi="Calibri"/>
          <w:b/>
          <w:bCs/>
          <w:i w:val="false"/>
          <w:iCs w:val="false"/>
          <w:color w:val="000000"/>
          <w:sz w:val="20"/>
          <w:szCs w:val="20"/>
          <w:shd w:fill="FFFFFF" w:val="clear"/>
          <w:lang w:eastAsia="pt-BR"/>
        </w:rPr>
        <w:t>CLÁUSULA SÉTIMA - REAJUSTE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V</w:t>
      </w:r>
      <w:r>
        <w:rPr>
          <w:rStyle w:val="LinkdaInternet"/>
          <w:sz w:val="20"/>
          <w:i w:val="false"/>
          <w:b/>
          <w:shd w:fill="FFFFFF" w:val="clear"/>
          <w:szCs w:val="20"/>
          <w:iCs w:val="false"/>
          <w:bCs/>
          <w:rFonts w:eastAsia="Times New Roman" w:cs="Arial" w:ascii="Calibri" w:hAnsi="Calibri"/>
          <w:color w:val="000000"/>
          <w:lang w:eastAsia="pt-BR"/>
        </w:rPr>
        <w:fldChar w:fldCharType="end"/>
      </w:r>
      <w:r>
        <w:rPr>
          <w:rFonts w:eastAsia="Times New Roman" w:cs="Arial" w:ascii="Calibri" w:hAnsi="Calibri"/>
          <w:b/>
          <w:bCs/>
          <w:i w:val="false"/>
          <w:iCs w:val="false"/>
          <w:color w:val="000000"/>
          <w:sz w:val="20"/>
          <w:szCs w:val="20"/>
          <w:shd w:fill="FFFFFF" w:val="clear"/>
          <w:lang w:eastAsia="pt-BR"/>
        </w:rPr>
        <w:t>)</w:t>
      </w:r>
    </w:p>
    <w:p>
      <w:pPr>
        <w:pStyle w:val="Nivel2"/>
        <w:numPr>
          <w:ilvl w:val="1"/>
          <w:numId w:val="168"/>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Os preços inicialmente contratados são fixos e irreajustáveis no prazo de um ano contado da data do orçamento estimado, em __/__/__ (DD/MM/AAAA).</w:t>
      </w:r>
    </w:p>
    <w:p>
      <w:pPr>
        <w:pStyle w:val="Nivel2"/>
        <w:numPr>
          <w:ilvl w:val="1"/>
          <w:numId w:val="169"/>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Após o interregno de um ano, e </w:t>
      </w:r>
      <w:bookmarkStart w:id="2" w:name="_Hlk132722410"/>
      <w:r>
        <w:rPr>
          <w:rFonts w:eastAsia="Times New Roman" w:cs="Arial" w:ascii="Calibri" w:hAnsi="Calibri"/>
          <w:b w:val="false"/>
          <w:bCs w:val="false"/>
          <w:i w:val="false"/>
          <w:iCs w:val="false"/>
          <w:color w:val="000000"/>
          <w:sz w:val="20"/>
          <w:szCs w:val="20"/>
          <w:shd w:fill="FFFFFF" w:val="clear"/>
          <w:lang w:eastAsia="pt-BR"/>
        </w:rPr>
        <w:t>independentemente de pedido do contratado,</w:t>
      </w:r>
      <w:bookmarkEnd w:id="2"/>
      <w:r>
        <w:rPr>
          <w:rFonts w:eastAsia="Times New Roman" w:cs="Arial" w:ascii="Calibri" w:hAnsi="Calibri"/>
          <w:b w:val="false"/>
          <w:bCs w:val="false"/>
          <w:i w:val="false"/>
          <w:iCs w:val="false"/>
          <w:color w:val="000000"/>
          <w:sz w:val="20"/>
          <w:szCs w:val="20"/>
          <w:shd w:fill="FFFFFF" w:val="clear"/>
          <w:lang w:eastAsia="pt-BR"/>
        </w:rPr>
        <w:t xml:space="preserve"> os preços iniciais serão reajustados, mediante a aplicação, pelo contratante, do índice </w:t>
      </w:r>
      <w:r>
        <w:rPr>
          <w:rFonts w:eastAsia="Times New Roman" w:cs="Arial" w:ascii="Calibri" w:hAnsi="Calibri"/>
          <w:b/>
          <w:bCs/>
          <w:i w:val="false"/>
          <w:iCs w:val="false"/>
          <w:color w:val="000000"/>
          <w:sz w:val="20"/>
          <w:szCs w:val="20"/>
          <w:shd w:fill="FFFFFF" w:val="clear"/>
          <w:lang w:eastAsia="pt-BR"/>
        </w:rPr>
        <w:t>IPCA</w:t>
      </w:r>
      <w:r>
        <w:rPr>
          <w:rFonts w:eastAsia="Times New Roman" w:cs="Arial" w:ascii="Calibri" w:hAnsi="Calibri"/>
          <w:b w:val="false"/>
          <w:bCs w:val="false"/>
          <w:i w:val="false"/>
          <w:iCs w:val="false"/>
          <w:color w:val="000000"/>
          <w:sz w:val="20"/>
          <w:szCs w:val="20"/>
          <w:shd w:fill="FFFFFF" w:val="clear"/>
          <w:lang w:eastAsia="pt-BR"/>
        </w:rPr>
        <w:t xml:space="preserve"> exclusivamente para as obrigações iniciadas e concluídas após a ocorrência da anualidade.</w:t>
      </w:r>
    </w:p>
    <w:p>
      <w:pPr>
        <w:pStyle w:val="Nivel2"/>
        <w:numPr>
          <w:ilvl w:val="1"/>
          <w:numId w:val="170"/>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Nos reajustes subsequentes ao primeiro, o interregno mínimo de um ano será contado a partir dos efeitos financeiros do último reajuste.</w:t>
      </w:r>
    </w:p>
    <w:p>
      <w:pPr>
        <w:pStyle w:val="Nivel2"/>
        <w:numPr>
          <w:ilvl w:val="1"/>
          <w:numId w:val="171"/>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72"/>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Nas aferições finais, o(s) índice(s) utilizado(s) para reajuste será(ão), obrigatoriamente, o(s) definitivo(s).</w:t>
      </w:r>
    </w:p>
    <w:p>
      <w:pPr>
        <w:pStyle w:val="Nivel2"/>
        <w:numPr>
          <w:ilvl w:val="1"/>
          <w:numId w:val="173"/>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74"/>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Na ausência de previsão legal quanto ao índice substituto, as partes elegerão novo índice oficial, para reajustamento do preço do valor remanescente, por meio de termo aditivo. </w:t>
      </w:r>
    </w:p>
    <w:p>
      <w:pPr>
        <w:pStyle w:val="Nivel2"/>
        <w:numPr>
          <w:ilvl w:val="1"/>
          <w:numId w:val="175"/>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reajuste será realizado por apostilamento.</w:t>
      </w:r>
    </w:p>
    <w:p>
      <w:pPr>
        <w:pStyle w:val="Nivel01"/>
        <w:numPr>
          <w:ilvl w:val="0"/>
          <w:numId w:val="176"/>
        </w:numPr>
        <w:ind w:left="0" w:hanging="0"/>
        <w:rPr/>
      </w:pPr>
      <w:r>
        <w:rPr>
          <w:rFonts w:eastAsia="Times New Roman" w:cs="Arial" w:ascii="Calibri" w:hAnsi="Calibri"/>
          <w:b w:val="false"/>
          <w:bCs w:val="false"/>
          <w:i w:val="false"/>
          <w:iCs w:val="false"/>
          <w:color w:val="000000"/>
          <w:sz w:val="20"/>
          <w:szCs w:val="20"/>
          <w:shd w:fill="FFFFFF" w:val="clear"/>
          <w:lang w:eastAsia="pt-BR"/>
        </w:rPr>
        <w:t>C</w:t>
      </w:r>
      <w:r>
        <w:rPr>
          <w:rFonts w:eastAsia="Times New Roman" w:cs="Arial" w:ascii="Calibri" w:hAnsi="Calibri"/>
          <w:b/>
          <w:bCs/>
          <w:i w:val="false"/>
          <w:iCs w:val="false"/>
          <w:color w:val="000000"/>
          <w:sz w:val="20"/>
          <w:szCs w:val="20"/>
          <w:shd w:fill="FFFFFF" w:val="clear"/>
          <w:lang w:eastAsia="pt-BR"/>
        </w:rPr>
        <w:t xml:space="preserve">LÁUSULA OITAVA - OBRIGAÇÕES DO CONTRATANTE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X, XI e XIV</w:t>
      </w:r>
      <w:r>
        <w:rPr>
          <w:rStyle w:val="LinkdaInternet"/>
          <w:sz w:val="20"/>
          <w:i w:val="false"/>
          <w:b/>
          <w:shd w:fill="FFFFFF" w:val="clear"/>
          <w:szCs w:val="20"/>
          <w:iCs w:val="false"/>
          <w:bCs/>
          <w:rFonts w:eastAsia="Times New Roman" w:cs="Arial" w:ascii="Calibri" w:hAnsi="Calibri"/>
          <w:color w:val="000000"/>
          <w:lang w:eastAsia="pt-BR"/>
        </w:rPr>
        <w:fldChar w:fldCharType="end"/>
      </w:r>
      <w:r>
        <w:rPr>
          <w:rFonts w:eastAsia="Times New Roman" w:cs="Arial" w:ascii="Calibri" w:hAnsi="Calibri"/>
          <w:b/>
          <w:bCs/>
          <w:i w:val="false"/>
          <w:iCs w:val="false"/>
          <w:color w:val="000000"/>
          <w:sz w:val="20"/>
          <w:szCs w:val="20"/>
          <w:shd w:fill="FFFFFF" w:val="clear"/>
          <w:lang w:eastAsia="pt-BR"/>
        </w:rPr>
        <w:t>)</w:t>
      </w:r>
    </w:p>
    <w:p>
      <w:pPr>
        <w:pStyle w:val="Nivel2"/>
        <w:numPr>
          <w:ilvl w:val="1"/>
          <w:numId w:val="177"/>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São obrigações do Contratante:</w:t>
      </w:r>
    </w:p>
    <w:p>
      <w:pPr>
        <w:pStyle w:val="Nivel2"/>
        <w:numPr>
          <w:ilvl w:val="1"/>
          <w:numId w:val="178"/>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Exigir o cumprimento de todas as obrigações assumidas pelo Contratado, de acordo com o contrato e seus anexos;</w:t>
      </w:r>
    </w:p>
    <w:p>
      <w:pPr>
        <w:pStyle w:val="Nivel2"/>
        <w:numPr>
          <w:ilvl w:val="1"/>
          <w:numId w:val="179"/>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Receber o objeto no prazo e condições estabelecidas no Termo de Referência;</w:t>
      </w:r>
    </w:p>
    <w:p>
      <w:pPr>
        <w:pStyle w:val="Nivel2"/>
        <w:numPr>
          <w:ilvl w:val="1"/>
          <w:numId w:val="180"/>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Notificar o Contratado, por escrito, sobre vícios, defeitos ou incorreções verificadas no objeto fornecido, para que seja por ele substituído, reparado ou corrigido, no total ou em parte, às suas expensas;</w:t>
      </w:r>
    </w:p>
    <w:p>
      <w:pPr>
        <w:pStyle w:val="Nivel2"/>
        <w:numPr>
          <w:ilvl w:val="1"/>
          <w:numId w:val="181"/>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Acompanhar e fiscalizar a execução do contrato e o cumprimento das obrigações pelo Contratado;</w:t>
      </w:r>
    </w:p>
    <w:p>
      <w:pPr>
        <w:pStyle w:val="Nivel2"/>
        <w:numPr>
          <w:ilvl w:val="1"/>
          <w:numId w:val="182"/>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83"/>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Efetuar o pagamento ao Contratado do valor correspondente à execução do objeto, no prazo, forma e condições estabelecidos no presente Contrato e no Termo de Referência;</w:t>
      </w:r>
    </w:p>
    <w:p>
      <w:pPr>
        <w:pStyle w:val="Nivel2"/>
        <w:numPr>
          <w:ilvl w:val="1"/>
          <w:numId w:val="184"/>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Aplicar ao Contratado as sanções previstas na lei e neste Contrato; </w:t>
      </w:r>
    </w:p>
    <w:p>
      <w:pPr>
        <w:pStyle w:val="Nivel2"/>
        <w:numPr>
          <w:ilvl w:val="1"/>
          <w:numId w:val="185"/>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Cientificar o órgão de representação judicial da Advocacia-Geral da União para adoção das medidas cabíveis quando do descumprimento de obrigações pelo Contratado;</w:t>
      </w:r>
    </w:p>
    <w:p>
      <w:pPr>
        <w:pStyle w:val="Nivel2"/>
        <w:numPr>
          <w:ilvl w:val="1"/>
          <w:numId w:val="186"/>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87"/>
        </w:numPr>
        <w:ind w:left="284"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 </w:t>
      </w:r>
      <w:r>
        <w:rPr>
          <w:rFonts w:eastAsia="Times New Roman" w:cs="Arial" w:ascii="Calibri" w:hAnsi="Calibri"/>
          <w:b w:val="false"/>
          <w:bCs w:val="false"/>
          <w:i w:val="false"/>
          <w:iCs w:val="false"/>
          <w:color w:val="000000"/>
          <w:sz w:val="20"/>
          <w:szCs w:val="20"/>
          <w:shd w:fill="FFFFFF" w:val="clear"/>
          <w:lang w:eastAsia="pt-BR"/>
        </w:rPr>
        <w:t xml:space="preserve">A Administração terá o prazo de XXXXXXX, a contar da data do protocolo do requerimento para decidir, admitida a prorrogação motivada, por igual período. </w:t>
      </w:r>
    </w:p>
    <w:p>
      <w:pPr>
        <w:pStyle w:val="Nivel2"/>
        <w:numPr>
          <w:ilvl w:val="1"/>
          <w:numId w:val="188"/>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Responder eventuais pedidos de reestabelecimento do equilíbrio econômico-financeiro feitos pelo contratado no prazo máximo de XXXXXX.</w:t>
      </w:r>
    </w:p>
    <w:p>
      <w:pPr>
        <w:pStyle w:val="Nvel2Red"/>
        <w:numPr>
          <w:ilvl w:val="1"/>
          <w:numId w:val="189"/>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bookmarkStart w:id="3" w:name="_Hlk114499841"/>
      <w:bookmarkEnd w:id="3"/>
      <w:r>
        <w:rPr>
          <w:rFonts w:eastAsia="Times New Roman" w:cs="Arial" w:ascii="Calibri" w:hAnsi="Calibri"/>
          <w:b w:val="false"/>
          <w:bCs w:val="false"/>
          <w:i w:val="false"/>
          <w:iCs w:val="false"/>
          <w:color w:val="000000"/>
          <w:sz w:val="20"/>
          <w:szCs w:val="20"/>
          <w:shd w:fill="FFFFFF" w:val="clear"/>
          <w:lang w:eastAsia="pt-BR"/>
        </w:rPr>
        <w:t>Notificar os emitentes das garantias quanto ao início de processo administrativo para apuração de descumprimento de cláusulas contratuais.</w:t>
      </w:r>
    </w:p>
    <w:p>
      <w:pPr>
        <w:pStyle w:val="Nivel2"/>
        <w:numPr>
          <w:ilvl w:val="1"/>
          <w:numId w:val="190"/>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Comunicar o Contratado na hipótese de posterior alteração do projeto pelo Contratante, no caso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"art93§2"</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do art. 93, §2º,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2"/>
        <w:numPr>
          <w:ilvl w:val="1"/>
          <w:numId w:val="191"/>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92"/>
        </w:numPr>
        <w:ind w:left="0" w:hanging="0"/>
        <w:rPr/>
      </w:pPr>
      <w:r>
        <w:rPr>
          <w:rFonts w:eastAsia="Times New Roman" w:cs="Arial" w:ascii="Calibri" w:hAnsi="Calibri"/>
          <w:b/>
          <w:bCs/>
          <w:i w:val="false"/>
          <w:iCs w:val="false"/>
          <w:color w:val="000000"/>
          <w:sz w:val="20"/>
          <w:szCs w:val="20"/>
          <w:shd w:fill="FFFFFF" w:val="clear"/>
          <w:lang w:eastAsia="pt-BR"/>
        </w:rPr>
        <w:t>CLÁUSULA NONA - OBRIGAÇÕES DO CONTRATADO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XIV, XVI e XVII</w:t>
      </w:r>
      <w:r>
        <w:rPr>
          <w:rStyle w:val="LinkdaInternet"/>
          <w:sz w:val="20"/>
          <w:i w:val="false"/>
          <w:b/>
          <w:shd w:fill="FFFFFF" w:val="clear"/>
          <w:szCs w:val="20"/>
          <w:iCs w:val="false"/>
          <w:bCs/>
          <w:rFonts w:eastAsia="Times New Roman" w:cs="Arial" w:ascii="Calibri" w:hAnsi="Calibri"/>
          <w:color w:val="000000"/>
          <w:lang w:eastAsia="pt-BR"/>
        </w:rPr>
        <w:fldChar w:fldCharType="end"/>
      </w:r>
      <w:r>
        <w:rPr>
          <w:rFonts w:eastAsia="Times New Roman" w:cs="Arial" w:ascii="Calibri" w:hAnsi="Calibri"/>
          <w:b/>
          <w:bCs/>
          <w:i w:val="false"/>
          <w:iCs w:val="false"/>
          <w:color w:val="000000"/>
          <w:sz w:val="20"/>
          <w:szCs w:val="20"/>
          <w:shd w:fill="FFFFFF" w:val="clear"/>
          <w:lang w:eastAsia="pt-BR"/>
        </w:rPr>
        <w:t>)</w:t>
      </w:r>
    </w:p>
    <w:p>
      <w:pPr>
        <w:pStyle w:val="Nivel2"/>
        <w:numPr>
          <w:ilvl w:val="1"/>
          <w:numId w:val="193"/>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94"/>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Manter preposto aceito pela Administração no local do serviço para representá-lo na execução do contrato.</w:t>
      </w:r>
    </w:p>
    <w:p>
      <w:pPr>
        <w:pStyle w:val="Nivel2"/>
        <w:numPr>
          <w:ilvl w:val="1"/>
          <w:numId w:val="195"/>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A indicação ou a manutenção do preposto da empresa poderá ser recusada pelo órgão ou entidade, desde que devidamente justificada, devendo a empresa designar outro para o exercício da atividade.</w:t>
      </w:r>
    </w:p>
    <w:p>
      <w:pPr>
        <w:pStyle w:val="Nivel2"/>
        <w:numPr>
          <w:ilvl w:val="1"/>
          <w:numId w:val="196"/>
        </w:numPr>
        <w:ind w:left="0" w:hanging="0"/>
        <w:rPr/>
      </w:pPr>
      <w:r>
        <w:rPr>
          <w:rFonts w:eastAsia="Times New Roman" w:cs="Arial" w:ascii="Calibri" w:hAnsi="Calibri"/>
          <w:b w:val="false"/>
          <w:bCs w:val="false"/>
          <w:i w:val="false"/>
          <w:iCs w:val="false"/>
          <w:color w:val="000000"/>
          <w:sz w:val="20"/>
          <w:szCs w:val="20"/>
          <w:shd w:fill="FFFFFF" w:val="clear"/>
          <w:lang w:eastAsia="pt-BR"/>
        </w:rPr>
        <w:t>Atender às determinações regulares emitidas pelo fiscal do contrato ou autoridade superior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"art137"</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137, II</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 e prestar todo esclarecimento ou informação por eles solicitados;</w:t>
      </w:r>
    </w:p>
    <w:p>
      <w:pPr>
        <w:pStyle w:val="Nivel2"/>
        <w:numPr>
          <w:ilvl w:val="1"/>
          <w:numId w:val="197"/>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98"/>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99"/>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Responsabilizar-se pelos vícios e danos decorrentes da execução do objeto, de acordo com o </w:t>
      </w:r>
      <w:hyperlink r:id="rId3">
        <w:r>
          <w:rPr>
            <w:rStyle w:val="LinkdaInternet"/>
            <w:rFonts w:eastAsia="Times New Roman" w:cs="Arial" w:ascii="Calibri" w:hAnsi="Calibri"/>
            <w:b w:val="false"/>
            <w:bCs w:val="false"/>
            <w:i w:val="false"/>
            <w:iCs w:val="false"/>
            <w:color w:val="000000"/>
            <w:sz w:val="20"/>
            <w:szCs w:val="20"/>
            <w:shd w:fill="FFFFFF" w:val="clear"/>
            <w:lang w:eastAsia="pt-BR"/>
          </w:rPr>
          <w:t>Código de Defesa do Consumidor (Lei nº 8.078, de 1990</w:t>
        </w:r>
      </w:hyperlink>
      <w:r>
        <w:rPr>
          <w:rFonts w:eastAsia="Times New Roman" w:cs="Arial" w:ascii="Calibri" w:hAnsi="Calibri"/>
          <w:b w:val="false"/>
          <w:bCs w:val="false"/>
          <w:i w:val="false"/>
          <w:iCs w:val="false"/>
          <w:color w:val="000000"/>
          <w:sz w:val="20"/>
          <w:szCs w:val="20"/>
          <w:shd w:fill="FFFFFF" w:val="clear"/>
          <w:lang w:eastAsia="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200"/>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"art48"</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artigo 48, parágrafo único,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2"/>
        <w:numPr>
          <w:ilvl w:val="1"/>
          <w:numId w:val="201"/>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202"/>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203"/>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Comunicar ao Fiscal do contrato, no prazo de 24 (vinte e quatro) horas, qualquer ocorrência anormal ou acidente que se verifique no local dos serviços.</w:t>
      </w:r>
    </w:p>
    <w:p>
      <w:pPr>
        <w:pStyle w:val="Nivel2"/>
        <w:numPr>
          <w:ilvl w:val="1"/>
          <w:numId w:val="204"/>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205"/>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Paralisar, por determinação do Contratante, qualquer atividade que não esteja sendo executada de acordo com a boa técnica ou que ponha em risco a segurança de pessoas ou bens de terceiros.</w:t>
      </w:r>
    </w:p>
    <w:p>
      <w:pPr>
        <w:pStyle w:val="Nivel2"/>
        <w:numPr>
          <w:ilvl w:val="1"/>
          <w:numId w:val="206"/>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Promover a guarda, manutenção e vigilância de materiais, ferramentas, e tudo o que for necessário à execução do objeto, durante a vigência do contrato.</w:t>
      </w:r>
    </w:p>
    <w:p>
      <w:pPr>
        <w:pStyle w:val="Nivel2"/>
        <w:numPr>
          <w:ilvl w:val="1"/>
          <w:numId w:val="207"/>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208"/>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Submeter previamente, por escrito, ao Contratante, para análise e aprovação, quaisquer mudanças nos métodos executivos que fujam às especificações do memorial descritivo ou instrumento congênere.</w:t>
      </w:r>
    </w:p>
    <w:p>
      <w:pPr>
        <w:pStyle w:val="Nivel2"/>
        <w:numPr>
          <w:ilvl w:val="1"/>
          <w:numId w:val="209"/>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210"/>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 </w:t>
      </w:r>
      <w:r>
        <w:rPr>
          <w:rFonts w:eastAsia="Times New Roman" w:cs="Arial" w:ascii="Calibri" w:hAnsi="Calibri"/>
          <w:b w:val="false"/>
          <w:bCs w:val="false"/>
          <w:i w:val="false"/>
          <w:iCs w:val="false"/>
          <w:color w:val="000000"/>
          <w:sz w:val="20"/>
          <w:szCs w:val="20"/>
          <w:shd w:fill="FFFFFF" w:val="clear"/>
          <w:lang w:eastAsia="pt-BR"/>
        </w:rPr>
        <w:t xml:space="preserve">Manter durante toda a vigência do contrato, em compatibilidade com as obrigações assumidas, todas as condições exigidas para habilitação na licitação; </w:t>
      </w:r>
    </w:p>
    <w:p>
      <w:pPr>
        <w:pStyle w:val="Nivel2"/>
        <w:numPr>
          <w:ilvl w:val="1"/>
          <w:numId w:val="211"/>
        </w:numPr>
        <w:ind w:left="0" w:hanging="0"/>
        <w:rPr/>
      </w:pPr>
      <w:r>
        <w:rPr>
          <w:rFonts w:eastAsia="Times New Roman" w:cs="Arial" w:ascii="Calibri" w:hAnsi="Calibri"/>
          <w:b w:val="false"/>
          <w:bCs w:val="false"/>
          <w:i w:val="false"/>
          <w:iCs w:val="false"/>
          <w:color w:val="000000"/>
          <w:sz w:val="20"/>
          <w:szCs w:val="20"/>
          <w:shd w:fill="FFFFFF" w:val="clear"/>
          <w:lang w:eastAsia="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"art116"</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116</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2"/>
        <w:numPr>
          <w:ilvl w:val="1"/>
          <w:numId w:val="212"/>
        </w:numPr>
        <w:ind w:left="0" w:hanging="0"/>
        <w:rPr/>
      </w:pPr>
      <w:r>
        <w:rPr>
          <w:rFonts w:eastAsia="Times New Roman" w:cs="Arial" w:ascii="Calibri" w:hAnsi="Calibri"/>
          <w:b w:val="false"/>
          <w:bCs w:val="false"/>
          <w:i w:val="false"/>
          <w:iCs w:val="false"/>
          <w:color w:val="000000"/>
          <w:sz w:val="20"/>
          <w:szCs w:val="20"/>
          <w:shd w:fill="FFFFFF" w:val="clear"/>
          <w:lang w:eastAsia="pt-BR"/>
        </w:rPr>
        <w:t>Comprovar a reserva de cargos a que se refere a cláusula acima, no prazo fixado pelo fiscal do contrato, com a indicação dos empregados que preencheram as referidas vagas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"art116"</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116, parágrafo único</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2"/>
        <w:numPr>
          <w:ilvl w:val="1"/>
          <w:numId w:val="213"/>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Guardar sigilo sobre todas as informações obtidas em decorrência do cumprimento do contrato;</w:t>
      </w:r>
    </w:p>
    <w:p>
      <w:pPr>
        <w:pStyle w:val="Nivel2"/>
        <w:numPr>
          <w:ilvl w:val="1"/>
          <w:numId w:val="214"/>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"art124"</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124, II, d,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2"/>
        <w:numPr>
          <w:ilvl w:val="1"/>
          <w:numId w:val="215"/>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Cumprir, além dos postulados legais vigentes de âmbito federal, estadual ou municipal, as normas de segurança do Contratante;</w:t>
      </w:r>
    </w:p>
    <w:p>
      <w:pPr>
        <w:pStyle w:val="Nvel2Red"/>
        <w:numPr>
          <w:ilvl w:val="1"/>
          <w:numId w:val="216"/>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Realizar os serviços de manutenção e assistência técnica no(s) seguinte(s) local(is) ... (inserir endereço(s));</w:t>
      </w:r>
    </w:p>
    <w:p>
      <w:pPr>
        <w:pStyle w:val="Nvel3R"/>
        <w:numPr>
          <w:ilvl w:val="2"/>
          <w:numId w:val="217"/>
        </w:numPr>
        <w:ind w:left="284"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O técnico deverá se deslocar ao local da repartição, salvo se o contratado tiver unidade de prestação de serviços em distância de [....] (inserir distância conforme avaliação técnica) do local demandado. </w:t>
      </w:r>
    </w:p>
    <w:p>
      <w:pPr>
        <w:pStyle w:val="Nvel2Red"/>
        <w:numPr>
          <w:ilvl w:val="1"/>
          <w:numId w:val="218"/>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pPr>
        <w:pStyle w:val="Nvel2Red"/>
        <w:numPr>
          <w:ilvl w:val="1"/>
          <w:numId w:val="219"/>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Ceder ao Contratante todos os direitos patrimoniais relativos ao objeto contratado, o qual poderá ser livremente utilizado e/ou alterado em outras ocasiões, sem necessidade de nova autorização do Contratado.</w:t>
      </w:r>
    </w:p>
    <w:p>
      <w:pPr>
        <w:pStyle w:val="Nvel3R"/>
        <w:numPr>
          <w:ilvl w:val="2"/>
          <w:numId w:val="220"/>
        </w:numPr>
        <w:ind w:left="284"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Nivel01"/>
        <w:numPr>
          <w:ilvl w:val="0"/>
          <w:numId w:val="221"/>
        </w:numPr>
        <w:ind w:left="0" w:hanging="0"/>
        <w:rPr>
          <w:rFonts w:ascii="Calibri" w:hAnsi="Calibri" w:eastAsia="Times New Roman" w:cs="Arial"/>
          <w:b/>
          <w:b/>
          <w:bCs/>
          <w:i w:val="false"/>
          <w:i w:val="false"/>
          <w:iCs w:val="false"/>
          <w:color w:val="000000"/>
          <w:sz w:val="20"/>
          <w:szCs w:val="20"/>
          <w:shd w:fill="FFFFFF" w:val="clear"/>
          <w:lang w:eastAsia="pt-BR"/>
        </w:rPr>
      </w:pPr>
      <w:r>
        <w:rPr>
          <w:rFonts w:eastAsia="Times New Roman" w:cs="Arial" w:ascii="Calibri" w:hAnsi="Calibri"/>
          <w:b/>
          <w:bCs/>
          <w:i w:val="false"/>
          <w:iCs w:val="false"/>
          <w:color w:val="000000"/>
          <w:sz w:val="20"/>
          <w:szCs w:val="20"/>
          <w:shd w:fill="FFFFFF" w:val="clear"/>
          <w:lang w:eastAsia="pt-BR"/>
        </w:rPr>
        <w:t>CLÁUSULA DÉCIMA- OBRIGAÇÕES PERTINENTES À LGPD</w:t>
      </w:r>
    </w:p>
    <w:p>
      <w:pPr>
        <w:pStyle w:val="Nvel2Red"/>
        <w:numPr>
          <w:ilvl w:val="1"/>
          <w:numId w:val="222"/>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As partes deverão cumprir a </w:t>
      </w:r>
      <w:hyperlink r:id="rId4">
        <w:r>
          <w:rPr>
            <w:rStyle w:val="LinkdaInternet"/>
            <w:rFonts w:eastAsia="Times New Roman" w:cs="Arial" w:ascii="Calibri" w:hAnsi="Calibri"/>
            <w:b w:val="false"/>
            <w:bCs w:val="false"/>
            <w:i w:val="false"/>
            <w:iCs w:val="false"/>
            <w:color w:val="000000"/>
            <w:sz w:val="20"/>
            <w:szCs w:val="20"/>
            <w:shd w:fill="FFFFFF" w:val="clear"/>
            <w:lang w:eastAsia="pt-BR"/>
          </w:rPr>
          <w:t>Lei nº 13.709, de 14 de agosto de 2018 (LGPD)</w:t>
        </w:r>
      </w:hyperlink>
      <w:r>
        <w:rPr>
          <w:rFonts w:eastAsia="Times New Roman" w:cs="Arial" w:ascii="Calibri" w:hAnsi="Calibri"/>
          <w:b w:val="false"/>
          <w:bCs w:val="false"/>
          <w:i w:val="false"/>
          <w:iCs w:val="false"/>
          <w:color w:val="000000"/>
          <w:sz w:val="20"/>
          <w:szCs w:val="20"/>
          <w:shd w:fill="FFFFFF" w:val="clear"/>
          <w:lang w:eastAsia="pt-BR"/>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223"/>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Os dados obtidos somente poderão ser utilizados para as finalidades que justificaram seu acesso e de acordo com a boa-fé e com os princípios do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"https://www.planalto.gov.br/ccivil_03/_ato2015-2018/2018/lei/l13709.htm" \l "art6"</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6º da LGPD</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 xml:space="preserve">. </w:t>
      </w:r>
    </w:p>
    <w:p>
      <w:pPr>
        <w:pStyle w:val="Nvel2Red"/>
        <w:numPr>
          <w:ilvl w:val="1"/>
          <w:numId w:val="224"/>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É vedado o compartilhamento com terceiros dos dados obtidos fora das hipóteses permitidas em Lei.</w:t>
      </w:r>
    </w:p>
    <w:p>
      <w:pPr>
        <w:pStyle w:val="Nvel2Red"/>
        <w:numPr>
          <w:ilvl w:val="1"/>
          <w:numId w:val="225"/>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A Administração deverá ser informada no prazo de 5 (cinco) dias úteis sobre todos os contratos de suboperação firmados ou que venham a ser celebrados pelo Contratado. </w:t>
      </w:r>
    </w:p>
    <w:p>
      <w:pPr>
        <w:pStyle w:val="Nvel2Red"/>
        <w:numPr>
          <w:ilvl w:val="1"/>
          <w:numId w:val="226"/>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Terminado o tratamento dos dados nos termos do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"https://www.planalto.gov.br/ccivil_03/_ato2015-2018/2018/lei/l13709.htm" \l "art15"</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15 da LGPD</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 xml:space="preserve">, é dever do contratado eliminá-los, com exceção das hipóteses do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"https://www.planalto.gov.br/ccivil_03/_ato2015-2018/2018/lei/l13709.htm" \l "art16"</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16 da LGPD</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227"/>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É dever do contratado orientar e treinar seus empregados sobre os deveres, requisitos e responsabilidades decorrentes da LGPD. </w:t>
      </w:r>
    </w:p>
    <w:p>
      <w:pPr>
        <w:pStyle w:val="Nvel2Red"/>
        <w:numPr>
          <w:ilvl w:val="1"/>
          <w:numId w:val="228"/>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Contratado deverá exigir de suboperadores e subcontratados o cumprimento dos deveres da presente cláusula, permanecendo integralmente responsável por garantir sua observância.</w:t>
      </w:r>
    </w:p>
    <w:p>
      <w:pPr>
        <w:pStyle w:val="Nvel2Red"/>
        <w:numPr>
          <w:ilvl w:val="1"/>
          <w:numId w:val="229"/>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O Contratante poderá realizar diligência para aferir o cumprimento dessa cláusula, devendo o Contratado atender prontamente eventuais pedidos de comprovação formulados. </w:t>
      </w:r>
    </w:p>
    <w:p>
      <w:pPr>
        <w:pStyle w:val="Nvel2Red"/>
        <w:numPr>
          <w:ilvl w:val="1"/>
          <w:numId w:val="230"/>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31"/>
        </w:numPr>
        <w:ind w:left="0" w:hanging="0"/>
        <w:rPr/>
      </w:pPr>
      <w:r>
        <w:rPr>
          <w:rFonts w:eastAsia="Times New Roman" w:cs="Arial" w:ascii="Calibri" w:hAnsi="Calibri"/>
          <w:b w:val="false"/>
          <w:bCs w:val="false"/>
          <w:i w:val="false"/>
          <w:iCs w:val="false"/>
          <w:color w:val="000000"/>
          <w:sz w:val="20"/>
          <w:szCs w:val="20"/>
          <w:shd w:fill="FFFFFF" w:val="clear"/>
          <w:lang w:eastAsia="pt-BR"/>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LinkdaInternet"/>
            <w:rFonts w:eastAsia="Times New Roman" w:cs="Arial" w:ascii="Calibri" w:hAnsi="Calibri"/>
            <w:b w:val="false"/>
            <w:bCs w:val="false"/>
            <w:i w:val="false"/>
            <w:iCs w:val="false"/>
            <w:color w:val="000000"/>
            <w:sz w:val="20"/>
            <w:szCs w:val="20"/>
            <w:shd w:fill="FFFFFF" w:val="clear"/>
            <w:lang w:eastAsia="pt-BR"/>
          </w:rPr>
          <w:t>LGPD, art. 37</w:t>
        </w:r>
      </w:hyperlink>
      <w:r>
        <w:rPr>
          <w:rFonts w:eastAsia="Times New Roman" w:cs="Arial" w:ascii="Calibri" w:hAnsi="Calibri"/>
          <w:b w:val="false"/>
          <w:bCs w:val="false"/>
          <w:i w:val="false"/>
          <w:iCs w:val="false"/>
          <w:color w:val="000000"/>
          <w:sz w:val="20"/>
          <w:szCs w:val="20"/>
          <w:shd w:fill="FFFFFF" w:val="clear"/>
          <w:lang w:eastAsia="pt-BR"/>
        </w:rPr>
        <w:t>), com cada acesso, data, horário e registro da finalidade, para efeito de responsabilização, em caso de eventuais omissões, desvios ou abusos.</w:t>
      </w:r>
    </w:p>
    <w:p>
      <w:pPr>
        <w:pStyle w:val="Nvel3R"/>
        <w:numPr>
          <w:ilvl w:val="2"/>
          <w:numId w:val="232"/>
        </w:numPr>
        <w:ind w:left="284"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Os referidos bancos de dados devem ser desenvolvidos em formato interoperável, a fim de garantir a reutilização desses dados pela Administração nas hipóteses previstas na LGPD.</w:t>
      </w:r>
    </w:p>
    <w:p>
      <w:pPr>
        <w:pStyle w:val="Nvel2Red"/>
        <w:numPr>
          <w:ilvl w:val="1"/>
          <w:numId w:val="233"/>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234"/>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Os contratos e convênios de que trata 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"https://www.planalto.gov.br/ccivil_03/_ato2015-2018/2018/lei/l13709.htm" \l "art26§1"</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 1º do art. 26 da LGPD</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 xml:space="preserve"> deverão ser comunicados à autoridade nacional.</w:t>
      </w:r>
    </w:p>
    <w:p>
      <w:pPr>
        <w:pStyle w:val="Nivel01"/>
        <w:numPr>
          <w:ilvl w:val="0"/>
          <w:numId w:val="235"/>
        </w:numPr>
        <w:ind w:left="0" w:hanging="0"/>
        <w:rPr/>
      </w:pPr>
      <w:r>
        <w:rPr>
          <w:rFonts w:eastAsia="Times New Roman" w:cs="Arial" w:ascii="Calibri" w:hAnsi="Calibri"/>
          <w:b/>
          <w:bCs/>
          <w:i w:val="false"/>
          <w:iCs w:val="false"/>
          <w:color w:val="000000"/>
          <w:sz w:val="20"/>
          <w:szCs w:val="20"/>
          <w:shd w:fill="FFFFFF" w:val="clear"/>
          <w:lang w:eastAsia="pt-BR"/>
        </w:rPr>
        <w:t>CLÁUSULA DÉCIMA PRIMEIRA – GARANTIA DE EXECUÇÃO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XII</w:t>
      </w:r>
      <w:r>
        <w:rPr>
          <w:rStyle w:val="LinkdaInternet"/>
          <w:sz w:val="20"/>
          <w:i w:val="false"/>
          <w:b/>
          <w:shd w:fill="FFFFFF" w:val="clear"/>
          <w:szCs w:val="20"/>
          <w:iCs w:val="false"/>
          <w:bCs/>
          <w:rFonts w:eastAsia="Times New Roman" w:cs="Arial" w:ascii="Calibri" w:hAnsi="Calibri"/>
          <w:color w:val="000000"/>
          <w:lang w:eastAsia="pt-BR"/>
        </w:rPr>
        <w:fldChar w:fldCharType="end"/>
      </w:r>
      <w:r>
        <w:rPr>
          <w:rFonts w:eastAsia="Times New Roman" w:cs="Arial" w:ascii="Calibri" w:hAnsi="Calibri"/>
          <w:b/>
          <w:bCs/>
          <w:i w:val="false"/>
          <w:iCs w:val="false"/>
          <w:color w:val="000000"/>
          <w:sz w:val="20"/>
          <w:szCs w:val="20"/>
          <w:shd w:fill="FFFFFF" w:val="clear"/>
          <w:lang w:eastAsia="pt-BR"/>
        </w:rPr>
        <w:t>)</w:t>
      </w:r>
    </w:p>
    <w:p>
      <w:pPr>
        <w:pStyle w:val="Nvel2Red"/>
        <w:numPr>
          <w:ilvl w:val="1"/>
          <w:numId w:val="236"/>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Não haverá exigência de garantia contratual da execução.</w:t>
      </w:r>
    </w:p>
    <w:p>
      <w:pPr>
        <w:pStyle w:val="Nivel01"/>
        <w:numPr>
          <w:ilvl w:val="0"/>
          <w:numId w:val="237"/>
        </w:numPr>
        <w:ind w:left="0" w:hanging="0"/>
        <w:rPr/>
      </w:pPr>
      <w:r>
        <w:rPr>
          <w:rFonts w:eastAsia="Times New Roman" w:cs="Arial" w:ascii="Calibri" w:hAnsi="Calibri"/>
          <w:b/>
          <w:bCs/>
          <w:i w:val="false"/>
          <w:iCs w:val="false"/>
          <w:color w:val="000000"/>
          <w:sz w:val="20"/>
          <w:szCs w:val="20"/>
          <w:shd w:fill="FFFFFF" w:val="clear"/>
          <w:lang w:eastAsia="pt-BR"/>
        </w:rPr>
        <w:t>CLÁUSULA DÉCIMA SEGUNDA – INFRAÇÕES E SANÇÕES ADMINISTRATIVAS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XIV</w:t>
      </w:r>
      <w:r>
        <w:rPr>
          <w:rStyle w:val="LinkdaInternet"/>
          <w:sz w:val="20"/>
          <w:i w:val="false"/>
          <w:b/>
          <w:shd w:fill="FFFFFF" w:val="clear"/>
          <w:szCs w:val="20"/>
          <w:iCs w:val="false"/>
          <w:bCs/>
          <w:rFonts w:eastAsia="Times New Roman" w:cs="Arial" w:ascii="Calibri" w:hAnsi="Calibri"/>
          <w:color w:val="000000"/>
          <w:lang w:eastAsia="pt-BR"/>
        </w:rPr>
        <w:fldChar w:fldCharType="end"/>
      </w:r>
      <w:r>
        <w:rPr>
          <w:rFonts w:eastAsia="Times New Roman" w:cs="Arial" w:ascii="Calibri" w:hAnsi="Calibri"/>
          <w:b/>
          <w:bCs/>
          <w:i w:val="false"/>
          <w:iCs w:val="false"/>
          <w:color w:val="000000"/>
          <w:sz w:val="20"/>
          <w:szCs w:val="20"/>
          <w:shd w:fill="FFFFFF" w:val="clear"/>
          <w:lang w:eastAsia="pt-BR"/>
        </w:rPr>
        <w:t>)</w:t>
      </w:r>
    </w:p>
    <w:p>
      <w:pPr>
        <w:pStyle w:val="Nivel2"/>
        <w:numPr>
          <w:ilvl w:val="1"/>
          <w:numId w:val="238"/>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Comete infração administrativa, nos termos da </w:t>
      </w:r>
      <w:hyperlink r:id="rId6">
        <w:r>
          <w:rPr>
            <w:rStyle w:val="LinkdaInternet"/>
            <w:rFonts w:eastAsia="Times New Roman" w:cs="Arial" w:ascii="Calibri" w:hAnsi="Calibri"/>
            <w:b w:val="false"/>
            <w:bCs w:val="false"/>
            <w:i w:val="false"/>
            <w:iCs w:val="false"/>
            <w:color w:val="000000"/>
            <w:sz w:val="20"/>
            <w:szCs w:val="20"/>
            <w:shd w:fill="FFFFFF" w:val="clear"/>
            <w:lang w:eastAsia="pt-BR"/>
          </w:rPr>
          <w:t>Lei nº 14.133, de 2021</w:t>
        </w:r>
      </w:hyperlink>
      <w:r>
        <w:rPr>
          <w:rFonts w:eastAsia="Times New Roman" w:cs="Arial" w:ascii="Calibri" w:hAnsi="Calibri"/>
          <w:b w:val="false"/>
          <w:bCs w:val="false"/>
          <w:i w:val="false"/>
          <w:iCs w:val="false"/>
          <w:color w:val="000000"/>
          <w:sz w:val="20"/>
          <w:szCs w:val="20"/>
          <w:shd w:fill="FFFFFF" w:val="clear"/>
          <w:lang w:eastAsia="pt-BR"/>
        </w:rPr>
        <w:t>, o contratado que:</w:t>
      </w:r>
    </w:p>
    <w:p>
      <w:pPr>
        <w:pStyle w:val="Normal"/>
        <w:numPr>
          <w:ilvl w:val="2"/>
          <w:numId w:val="6"/>
        </w:numPr>
        <w:suppressAutoHyphens w:val="true"/>
        <w:spacing w:lineRule="auto" w:line="276" w:before="120" w:after="120"/>
        <w:ind w:left="284" w:hanging="0"/>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der causa à inexecução parcial do contrato;</w:t>
      </w:r>
    </w:p>
    <w:p>
      <w:pPr>
        <w:pStyle w:val="Normal"/>
        <w:numPr>
          <w:ilvl w:val="2"/>
          <w:numId w:val="6"/>
        </w:numPr>
        <w:suppressAutoHyphens w:val="true"/>
        <w:spacing w:lineRule="auto" w:line="276" w:before="120" w:after="120"/>
        <w:ind w:left="284" w:hanging="0"/>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der causa à inexecução parcial do contrato que cause grave dano à Administração ou ao funcionamento dos serviços públicos ou ao interesse coletivo;</w:t>
      </w:r>
    </w:p>
    <w:p>
      <w:pPr>
        <w:pStyle w:val="Normal"/>
        <w:numPr>
          <w:ilvl w:val="2"/>
          <w:numId w:val="6"/>
        </w:numPr>
        <w:suppressAutoHyphens w:val="true"/>
        <w:spacing w:lineRule="auto" w:line="276" w:before="120" w:after="120"/>
        <w:ind w:left="284" w:hanging="0"/>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der causa à inexecução total do contrato;</w:t>
      </w:r>
    </w:p>
    <w:p>
      <w:pPr>
        <w:pStyle w:val="Normal"/>
        <w:numPr>
          <w:ilvl w:val="2"/>
          <w:numId w:val="6"/>
        </w:numPr>
        <w:suppressAutoHyphens w:val="true"/>
        <w:spacing w:lineRule="auto" w:line="276" w:before="120" w:after="120"/>
        <w:ind w:left="284" w:hanging="0"/>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ensejar o retardamento da execução ou da entrega do objeto da contratação sem motivo justificado;</w:t>
      </w:r>
    </w:p>
    <w:p>
      <w:pPr>
        <w:pStyle w:val="Normal"/>
        <w:numPr>
          <w:ilvl w:val="2"/>
          <w:numId w:val="6"/>
        </w:numPr>
        <w:suppressAutoHyphens w:val="true"/>
        <w:spacing w:lineRule="auto" w:line="276" w:before="120" w:after="120"/>
        <w:ind w:left="284" w:hanging="0"/>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apresentar documentação falsa ou prestar declaração falsa durante a execução do contrato;</w:t>
      </w:r>
    </w:p>
    <w:p>
      <w:pPr>
        <w:pStyle w:val="Normal"/>
        <w:numPr>
          <w:ilvl w:val="2"/>
          <w:numId w:val="6"/>
        </w:numPr>
        <w:suppressAutoHyphens w:val="true"/>
        <w:spacing w:lineRule="auto" w:line="276" w:before="120" w:after="120"/>
        <w:ind w:left="284" w:hanging="0"/>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praticar ato fraudulento na execução do contrato;</w:t>
      </w:r>
    </w:p>
    <w:p>
      <w:pPr>
        <w:pStyle w:val="Normal"/>
        <w:numPr>
          <w:ilvl w:val="2"/>
          <w:numId w:val="6"/>
        </w:numPr>
        <w:suppressAutoHyphens w:val="true"/>
        <w:spacing w:lineRule="auto" w:line="276" w:before="120" w:after="120"/>
        <w:ind w:left="284" w:hanging="0"/>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comportar-se de modo inidôneo ou cometer fraude de qualquer natureza;</w:t>
      </w:r>
    </w:p>
    <w:p>
      <w:pPr>
        <w:pStyle w:val="Normal"/>
        <w:numPr>
          <w:ilvl w:val="2"/>
          <w:numId w:val="6"/>
        </w:numPr>
        <w:suppressAutoHyphens w:val="true"/>
        <w:spacing w:lineRule="auto" w:line="276" w:before="120" w:after="120"/>
        <w:ind w:left="284" w:hanging="0"/>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praticar ato lesivo previsto no art. 5º da Lei nº 12.846, de 1º de agosto de 2013.</w:t>
      </w:r>
    </w:p>
    <w:p>
      <w:pPr>
        <w:pStyle w:val="Nivel2"/>
        <w:numPr>
          <w:ilvl w:val="1"/>
          <w:numId w:val="239"/>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Serão aplicadas ao contratado que incorrer nas infrações acima descritas as seguintes sanções:</w:t>
      </w:r>
    </w:p>
    <w:p>
      <w:pPr>
        <w:pStyle w:val="Normal"/>
        <w:numPr>
          <w:ilvl w:val="2"/>
          <w:numId w:val="7"/>
        </w:numPr>
        <w:suppressAutoHyphens w:val="true"/>
        <w:spacing w:lineRule="auto" w:line="276" w:before="120" w:after="120"/>
        <w:ind w:left="284" w:hanging="0"/>
        <w:contextualSpacing/>
        <w:jc w:val="both"/>
        <w:rPr/>
      </w:pPr>
      <w:r>
        <w:rPr>
          <w:rFonts w:eastAsia="Times New Roman" w:cs="Arial" w:ascii="Calibri" w:hAnsi="Calibri"/>
          <w:b w:val="false"/>
          <w:bCs w:val="false"/>
          <w:i w:val="false"/>
          <w:iCs w:val="false"/>
          <w:color w:val="000000"/>
          <w:sz w:val="20"/>
          <w:szCs w:val="20"/>
          <w:shd w:fill="FFFFFF" w:val="clear"/>
          <w:lang w:eastAsia="pt-BR"/>
        </w:rPr>
        <w:t>Advertência, quando o contratado der causa à inexecução parcial do contrato, sempre que não se justificar a imposição de penalidade mais grave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"art156§2"</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 xml:space="preserve">art. 156, §2º, da </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bookmarkStart w:id="4" w:name="_Hlk114504069"/>
      <w:r>
        <w:rPr>
          <w:rStyle w:val="LinkdaInternet"/>
          <w:rFonts w:eastAsia="Times New Roman" w:cs="Arial" w:ascii="Calibri" w:hAnsi="Calibri"/>
          <w:b w:val="false"/>
          <w:bCs w:val="false"/>
          <w:i w:val="false"/>
          <w:iCs w:val="false"/>
          <w:color w:val="000000"/>
          <w:sz w:val="20"/>
          <w:szCs w:val="20"/>
          <w:shd w:fill="FFFFFF" w:val="clear"/>
          <w:lang w:eastAsia="pt-BR"/>
        </w:rPr>
        <w:t>Lei nº 14.133, de 2021</w:t>
      </w:r>
      <w:bookmarkEnd w:id="4"/>
      <w:r>
        <w:rPr>
          <w:rFonts w:eastAsia="Times New Roman" w:cs="Arial" w:ascii="Calibri" w:hAnsi="Calibri"/>
          <w:b w:val="false"/>
          <w:bCs w:val="false"/>
          <w:i w:val="false"/>
          <w:iCs w:val="false"/>
          <w:color w:val="000000"/>
          <w:sz w:val="20"/>
          <w:szCs w:val="20"/>
          <w:shd w:fill="FFFFFF" w:val="clear"/>
          <w:lang w:eastAsia="pt-BR"/>
        </w:rPr>
        <w:t>);</w:t>
      </w:r>
    </w:p>
    <w:p>
      <w:pPr>
        <w:pStyle w:val="Normal"/>
        <w:numPr>
          <w:ilvl w:val="2"/>
          <w:numId w:val="7"/>
        </w:numPr>
        <w:suppressAutoHyphens w:val="true"/>
        <w:spacing w:lineRule="auto" w:line="276" w:before="120" w:after="120"/>
        <w:ind w:left="284" w:hanging="0"/>
        <w:contextualSpacing/>
        <w:jc w:val="both"/>
        <w:rPr/>
      </w:pPr>
      <w:r>
        <w:rPr>
          <w:rFonts w:eastAsia="Times New Roman" w:cs="Arial" w:ascii="Calibri" w:hAnsi="Calibri"/>
          <w:b w:val="false"/>
          <w:bCs w:val="false"/>
          <w:i w:val="false"/>
          <w:iCs w:val="false"/>
          <w:color w:val="000000"/>
          <w:sz w:val="20"/>
          <w:szCs w:val="20"/>
          <w:shd w:fill="FFFFFF" w:val="clear"/>
          <w:lang w:eastAsia="pt-BR"/>
        </w:rPr>
        <w:t>Impedimento de licitar e contratar, quando praticadas as condutas descritas nas alíneas “b”, “c” e “d” do subitem acima deste Contrato, sempre que não se justificar a imposição de penalidade mais grave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"art156§4"</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156, § 4º,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ormal"/>
        <w:numPr>
          <w:ilvl w:val="2"/>
          <w:numId w:val="7"/>
        </w:numPr>
        <w:suppressAutoHyphens w:val="true"/>
        <w:spacing w:lineRule="auto" w:line="276" w:before="120" w:after="120"/>
        <w:ind w:left="284" w:hanging="0"/>
        <w:contextualSpacing/>
        <w:jc w:val="both"/>
        <w:rPr/>
      </w:pPr>
      <w:r>
        <w:rPr>
          <w:rFonts w:eastAsia="Times New Roman" w:cs="Arial" w:ascii="Calibri" w:hAnsi="Calibri"/>
          <w:b w:val="false"/>
          <w:bCs w:val="false"/>
          <w:i w:val="false"/>
          <w:iCs w:val="false"/>
          <w:color w:val="000000"/>
          <w:sz w:val="20"/>
          <w:szCs w:val="20"/>
          <w:shd w:fill="FFFFFF" w:val="clear"/>
          <w:lang w:eastAsia="pt-BR"/>
        </w:rPr>
        <w:t>Declaração de inidoneidade para licitar e contratar, quando praticadas as condutas descritas nas alíneas “e”, “f”, “g” e “h” do subitem acima deste Contrato, bem como nas alíneas “b”, “c” e “d”, que justifiquem a imposição de penalidade mais grave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"art156§5"</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156, §5º,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ormal"/>
        <w:numPr>
          <w:ilvl w:val="2"/>
          <w:numId w:val="7"/>
        </w:numPr>
        <w:suppressAutoHyphens w:val="true"/>
        <w:spacing w:lineRule="auto" w:line="276" w:before="120" w:after="120"/>
        <w:ind w:left="284" w:hanging="0"/>
        <w:contextualSpacing/>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Multa:</w:t>
      </w:r>
    </w:p>
    <w:p>
      <w:pPr>
        <w:pStyle w:val="Normal"/>
        <w:numPr>
          <w:ilvl w:val="3"/>
          <w:numId w:val="7"/>
        </w:numPr>
        <w:suppressAutoHyphens w:val="true"/>
        <w:spacing w:lineRule="auto" w:line="276" w:before="120" w:after="120"/>
        <w:ind w:left="567" w:hanging="0"/>
        <w:contextualSpacing/>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Moratória de 05% (MEIO por cento) por dia de atraso injustificado sobre o valor da parcela inadimplida, até o limite de 30  (TRINTA) dias;</w:t>
      </w:r>
    </w:p>
    <w:p>
      <w:pPr>
        <w:pStyle w:val="Normal"/>
        <w:numPr>
          <w:ilvl w:val="3"/>
          <w:numId w:val="7"/>
        </w:numPr>
        <w:suppressAutoHyphens w:val="true"/>
        <w:spacing w:lineRule="auto" w:line="276" w:before="120" w:after="120"/>
        <w:ind w:left="567" w:hanging="0"/>
        <w:contextualSpacing/>
        <w:jc w:val="both"/>
        <w:rPr>
          <w:rFonts w:ascii="Calibri" w:hAnsi="Calibri" w:eastAsia="Times New Roman" w:cs="Arial"/>
          <w:b w:val="false"/>
          <w:b w:val="false"/>
          <w:bCs w:val="false"/>
          <w:i w:val="false"/>
          <w:i w:val="false"/>
          <w:iCs w:val="false"/>
          <w:color w:val="000000"/>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 xml:space="preserve">Moratória de 0,07% (sete centésimos por cento) do valor total do contrato por dia de atraso injustificado, até o máximo de 2% (dois por cento), pela inobservância do prazo fixado para apresentação, suplementação ou reposição da garantia. </w:t>
      </w:r>
    </w:p>
    <w:p>
      <w:pPr>
        <w:pStyle w:val="Normal"/>
        <w:numPr>
          <w:ilvl w:val="7"/>
          <w:numId w:val="7"/>
        </w:numPr>
        <w:suppressAutoHyphens w:val="true"/>
        <w:spacing w:lineRule="auto" w:line="276" w:before="120" w:after="120"/>
        <w:ind w:left="851" w:hanging="0"/>
        <w:contextualSpacing/>
        <w:jc w:val="both"/>
        <w:rPr/>
      </w:pPr>
      <w:r>
        <w:rPr>
          <w:rFonts w:eastAsia="Times New Roman" w:cs="Arial" w:ascii="Calibri" w:hAnsi="Calibri"/>
          <w:b w:val="false"/>
          <w:bCs w:val="false"/>
          <w:i w:val="false"/>
          <w:iCs w:val="false"/>
          <w:color w:val="000000"/>
          <w:sz w:val="20"/>
          <w:szCs w:val="20"/>
          <w:shd w:fill="auto" w:val="clear"/>
          <w:lang w:eastAsia="pt-BR"/>
        </w:rPr>
        <w:t xml:space="preserve">O atraso superior a 30 (TRINTA) dias autoriza a Administração a promover a extinção do contrato por descumprimento ou cumprimento irregular de suas cláusulas, conforme dispõe o </w:t>
      </w:r>
      <w:r>
        <w:fldChar w:fldCharType="begin"/>
      </w:r>
      <w:r>
        <w:rPr>
          <w:rStyle w:val="LinkdaInternet"/>
          <w:sz w:val="20"/>
          <w:i w:val="false"/>
          <w:b w:val="false"/>
          <w:shd w:fill="auto" w:val="clear"/>
          <w:szCs w:val="20"/>
          <w:iCs w:val="false"/>
          <w:bCs w:val="false"/>
          <w:rFonts w:eastAsia="Times New Roman" w:cs="Arial" w:ascii="Calibri" w:hAnsi="Calibri"/>
          <w:color w:val="000000"/>
          <w:lang w:eastAsia="pt-BR"/>
        </w:rPr>
        <w:instrText xml:space="preserve"> HYPERLINK "http://www.planalto.gov.br/ccivil_03/_ato2019-2022/2021/lei/L14133.htm" \l "art137"</w:instrText>
      </w:r>
      <w:r>
        <w:rPr>
          <w:rStyle w:val="LinkdaInternet"/>
          <w:sz w:val="20"/>
          <w:i w:val="false"/>
          <w:b w:val="false"/>
          <w:shd w:fill="auto"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auto" w:val="clear"/>
          <w:lang w:eastAsia="pt-BR"/>
        </w:rPr>
        <w:t>inciso I do art. 137 da Lei n. 14.133, de 2021</w:t>
      </w:r>
      <w:r>
        <w:rPr>
          <w:rStyle w:val="LinkdaInternet"/>
          <w:sz w:val="20"/>
          <w:i w:val="false"/>
          <w:b w:val="false"/>
          <w:shd w:fill="auto"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auto" w:val="clear"/>
          <w:lang w:eastAsia="pt-BR"/>
        </w:rPr>
        <w:t xml:space="preserve">. </w:t>
      </w:r>
    </w:p>
    <w:p>
      <w:pPr>
        <w:pStyle w:val="Normal"/>
        <w:numPr>
          <w:ilvl w:val="3"/>
          <w:numId w:val="7"/>
        </w:numPr>
        <w:suppressAutoHyphens w:val="true"/>
        <w:spacing w:lineRule="auto" w:line="276" w:before="120" w:after="120"/>
        <w:ind w:left="567" w:hanging="0"/>
        <w:contextualSpacing/>
        <w:jc w:val="both"/>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 xml:space="preserve"> </w:t>
      </w:r>
      <w:r>
        <w:rPr>
          <w:rFonts w:eastAsia="Times New Roman" w:cs="Arial" w:ascii="Calibri" w:hAnsi="Calibri"/>
          <w:b w:val="false"/>
          <w:bCs w:val="false"/>
          <w:i w:val="false"/>
          <w:iCs w:val="false"/>
          <w:color w:val="000000"/>
          <w:sz w:val="20"/>
          <w:szCs w:val="20"/>
          <w:shd w:fill="auto" w:val="clear"/>
          <w:lang w:eastAsia="pt-BR"/>
        </w:rPr>
        <w:t>Compensatória, para as infrações descritas nas alíneas “e” a “h” do subitem 12.1, de ....% a ...% do valor do Contrato.</w:t>
      </w:r>
    </w:p>
    <w:p>
      <w:pPr>
        <w:pStyle w:val="Normal"/>
        <w:numPr>
          <w:ilvl w:val="3"/>
          <w:numId w:val="7"/>
        </w:numPr>
        <w:suppressAutoHyphens w:val="true"/>
        <w:spacing w:lineRule="auto" w:line="276" w:before="120" w:after="120"/>
        <w:ind w:left="567" w:hanging="0"/>
        <w:contextualSpacing/>
        <w:jc w:val="both"/>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 xml:space="preserve">Compensatória, para a inexecução total do contrato prevista na alínea “c” do subitem 12.1, de ....% a ...%  do valor do Contrato. </w:t>
      </w:r>
    </w:p>
    <w:p>
      <w:pPr>
        <w:pStyle w:val="Normal"/>
        <w:numPr>
          <w:ilvl w:val="3"/>
          <w:numId w:val="7"/>
        </w:numPr>
        <w:suppressAutoHyphens w:val="true"/>
        <w:spacing w:lineRule="auto" w:line="276" w:before="120" w:after="120"/>
        <w:ind w:left="567" w:hanging="0"/>
        <w:contextualSpacing/>
        <w:jc w:val="both"/>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Para infração descrita na alínea “b” do subitem 12.1, a multa será de ....% a ...%  do valor do Contrato.</w:t>
      </w:r>
    </w:p>
    <w:p>
      <w:pPr>
        <w:pStyle w:val="Normal"/>
        <w:numPr>
          <w:ilvl w:val="3"/>
          <w:numId w:val="7"/>
        </w:numPr>
        <w:suppressAutoHyphens w:val="true"/>
        <w:spacing w:lineRule="auto" w:line="276" w:before="120" w:after="120"/>
        <w:ind w:left="567" w:hanging="0"/>
        <w:contextualSpacing/>
        <w:jc w:val="both"/>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Para infrações descritas na alínea “d” do subitem 12.1, a multa será de ....% a ...%  do valor do Contrato.</w:t>
      </w:r>
    </w:p>
    <w:p>
      <w:pPr>
        <w:pStyle w:val="Normal"/>
        <w:numPr>
          <w:ilvl w:val="3"/>
          <w:numId w:val="7"/>
        </w:numPr>
        <w:suppressAutoHyphens w:val="true"/>
        <w:spacing w:lineRule="auto" w:line="276" w:before="120" w:after="120"/>
        <w:ind w:left="567" w:hanging="0"/>
        <w:contextualSpacing/>
        <w:jc w:val="both"/>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Para a infração descrita na alínea “a” do subitem 12.1, a multa será de ....% a ...% do valor do Contrato, ressalvadas as seguintes infrações:</w:t>
      </w:r>
    </w:p>
    <w:p>
      <w:pPr>
        <w:pStyle w:val="Normal"/>
        <w:suppressAutoHyphens w:val="true"/>
        <w:spacing w:lineRule="auto" w:line="276" w:before="120" w:after="120"/>
        <w:ind w:left="851" w:hanging="0"/>
        <w:contextualSpacing/>
        <w:jc w:val="both"/>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[INDICAR ITENS ESPECÍFICOS DE INEXECUÇÃO PARCIAL QUE JUSTIFIQUEM PENA DIVERSA]</w:t>
      </w:r>
    </w:p>
    <w:p>
      <w:pPr>
        <w:pStyle w:val="Nivel2"/>
        <w:numPr>
          <w:ilvl w:val="1"/>
          <w:numId w:val="240"/>
        </w:numPr>
        <w:ind w:left="0" w:hanging="0"/>
        <w:rPr/>
      </w:pPr>
      <w:r>
        <w:rPr>
          <w:rFonts w:eastAsia="Times New Roman" w:cs="Arial" w:ascii="Calibri" w:hAnsi="Calibri"/>
          <w:b w:val="false"/>
          <w:bCs w:val="false"/>
          <w:i w:val="false"/>
          <w:iCs w:val="false"/>
          <w:color w:val="000000"/>
          <w:sz w:val="20"/>
          <w:szCs w:val="20"/>
          <w:shd w:fill="FFFFFF" w:val="clear"/>
          <w:lang w:eastAsia="pt-BR"/>
        </w:rPr>
        <w:t>A aplicação das sanções previstas neste Contrato não exclui, em hipótese alguma, a obrigação de reparação integral do dano causado ao Contratante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"art156§9"</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156, §9º,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2"/>
        <w:numPr>
          <w:ilvl w:val="1"/>
          <w:numId w:val="241"/>
        </w:numPr>
        <w:ind w:left="0" w:hanging="0"/>
        <w:rPr/>
      </w:pPr>
      <w:r>
        <w:rPr>
          <w:rFonts w:eastAsia="Times New Roman" w:cs="Arial" w:ascii="Calibri" w:hAnsi="Calibri"/>
          <w:b w:val="false"/>
          <w:bCs w:val="false"/>
          <w:i w:val="false"/>
          <w:iCs w:val="false"/>
          <w:color w:val="000000"/>
          <w:sz w:val="20"/>
          <w:szCs w:val="20"/>
          <w:shd w:fill="FFFFFF" w:val="clear"/>
          <w:lang w:eastAsia="pt-BR"/>
        </w:rPr>
        <w:t>Todas as sanções previstas neste Contrato poderão ser aplicadas cumulativamente com a multa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"art156§7"</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156, §7º,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3"/>
        <w:numPr>
          <w:ilvl w:val="2"/>
          <w:numId w:val="242"/>
        </w:numPr>
        <w:ind w:left="284" w:hanging="0"/>
        <w:rPr/>
      </w:pPr>
      <w:r>
        <w:rPr>
          <w:rFonts w:eastAsia="Times New Roman" w:cs="Arial" w:ascii="Calibri" w:hAnsi="Calibri"/>
          <w:b w:val="false"/>
          <w:bCs w:val="false"/>
          <w:i w:val="false"/>
          <w:iCs w:val="false"/>
          <w:color w:val="000000"/>
          <w:sz w:val="20"/>
          <w:szCs w:val="20"/>
          <w:shd w:fill="FFFFFF" w:val="clear"/>
          <w:lang w:eastAsia="pt-BR"/>
        </w:rPr>
        <w:t>Antes da aplicação da multa será facultada a defesa do interessado no prazo de 15 (quinze) dias úteis, contado da data de sua intimação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"art157"</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157,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2"/>
        <w:numPr>
          <w:ilvl w:val="1"/>
          <w:numId w:val="243"/>
        </w:numPr>
        <w:ind w:left="0" w:hanging="0"/>
        <w:rPr/>
      </w:pPr>
      <w:r>
        <w:rPr>
          <w:rFonts w:eastAsia="Times New Roman" w:cs="Arial" w:ascii="Calibri" w:hAnsi="Calibri"/>
          <w:b w:val="false"/>
          <w:bCs w:val="false"/>
          <w:i w:val="false"/>
          <w:iCs w:val="false"/>
          <w:color w:val="000000"/>
          <w:sz w:val="20"/>
          <w:szCs w:val="20"/>
          <w:shd w:fill="FFFFFF" w:val="clear"/>
          <w:lang w:eastAsia="pt-B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"art156§8"</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156, §8º,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2"/>
        <w:numPr>
          <w:ilvl w:val="1"/>
          <w:numId w:val="244"/>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Previamente ao encaminhamento à cobrança judicial, a multa poderá ser recolhida administrativamente no prazo máximo de XX (XXXX) dias, a contar da data do recebimento da comunicação enviada pela autoridade competente.</w:t>
      </w:r>
      <w:bookmarkStart w:id="5" w:name="_Hlk78351618"/>
      <w:bookmarkEnd w:id="5"/>
    </w:p>
    <w:p>
      <w:pPr>
        <w:pStyle w:val="Nivel2"/>
        <w:numPr>
          <w:ilvl w:val="1"/>
          <w:numId w:val="245"/>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A aplicação das sanções realizar-se-á em processo administrativo que assegure o contraditório e a ampla defesa ao Contratado, observando-se o procedimento previsto no caput e parágrafos do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"art158"</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158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 para as penalidades de impedimento de licitar e contratar e de declaração de inidoneidade para licitar ou contratar.</w:t>
      </w:r>
    </w:p>
    <w:p>
      <w:pPr>
        <w:pStyle w:val="Nivel2"/>
        <w:numPr>
          <w:ilvl w:val="1"/>
          <w:numId w:val="246"/>
        </w:numPr>
        <w:ind w:left="0" w:hanging="0"/>
        <w:rPr/>
      </w:pPr>
      <w:r>
        <w:rPr>
          <w:rFonts w:eastAsia="Times New Roman" w:cs="Arial" w:ascii="Calibri" w:hAnsi="Calibri"/>
          <w:b w:val="false"/>
          <w:bCs w:val="false"/>
          <w:i w:val="false"/>
          <w:iCs w:val="false"/>
          <w:color w:val="000000"/>
          <w:sz w:val="20"/>
          <w:szCs w:val="20"/>
          <w:shd w:fill="FFFFFF" w:val="clear"/>
          <w:lang w:eastAsia="pt-BR"/>
        </w:rPr>
        <w:t>Na aplicação das sanções serão considerados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"art156§1"</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156, §1º,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ormal"/>
        <w:numPr>
          <w:ilvl w:val="0"/>
          <w:numId w:val="3"/>
        </w:numPr>
        <w:suppressAutoHyphens w:val="true"/>
        <w:spacing w:lineRule="auto" w:line="276" w:before="120" w:after="120"/>
        <w:ind w:left="284" w:hanging="0"/>
        <w:contextualSpacing/>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a natureza e a gravidade da infração cometida;</w:t>
      </w:r>
    </w:p>
    <w:p>
      <w:pPr>
        <w:pStyle w:val="Normal"/>
        <w:numPr>
          <w:ilvl w:val="0"/>
          <w:numId w:val="3"/>
        </w:numPr>
        <w:suppressAutoHyphens w:val="true"/>
        <w:spacing w:lineRule="auto" w:line="276" w:before="120" w:after="120"/>
        <w:ind w:left="284" w:hanging="0"/>
        <w:contextualSpacing/>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as peculiaridades do caso concreto;</w:t>
      </w:r>
    </w:p>
    <w:p>
      <w:pPr>
        <w:pStyle w:val="Normal"/>
        <w:numPr>
          <w:ilvl w:val="0"/>
          <w:numId w:val="3"/>
        </w:numPr>
        <w:suppressAutoHyphens w:val="true"/>
        <w:spacing w:lineRule="auto" w:line="276" w:before="120" w:after="120"/>
        <w:ind w:left="284" w:hanging="0"/>
        <w:contextualSpacing/>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as circunstâncias agravantes ou atenuantes;</w:t>
      </w:r>
    </w:p>
    <w:p>
      <w:pPr>
        <w:pStyle w:val="Normal"/>
        <w:numPr>
          <w:ilvl w:val="0"/>
          <w:numId w:val="3"/>
        </w:numPr>
        <w:suppressAutoHyphens w:val="true"/>
        <w:spacing w:lineRule="auto" w:line="276" w:before="120" w:after="120"/>
        <w:ind w:left="284" w:hanging="0"/>
        <w:contextualSpacing/>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os danos que dela provierem para o Contratante;</w:t>
      </w:r>
    </w:p>
    <w:p>
      <w:pPr>
        <w:pStyle w:val="Normal"/>
        <w:numPr>
          <w:ilvl w:val="0"/>
          <w:numId w:val="3"/>
        </w:numPr>
        <w:suppressAutoHyphens w:val="true"/>
        <w:spacing w:lineRule="auto" w:line="276" w:before="120" w:after="120"/>
        <w:ind w:left="284" w:hanging="0"/>
        <w:contextualSpacing/>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a implantação ou o aperfeiçoamento de programa de integridade, conforme normas e orientações dos órgãos de controle.</w:t>
      </w:r>
    </w:p>
    <w:p>
      <w:pPr>
        <w:pStyle w:val="Nivel2"/>
        <w:numPr>
          <w:ilvl w:val="1"/>
          <w:numId w:val="247"/>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Os atos previstos como infrações administrativas na </w:t>
      </w:r>
      <w:hyperlink r:id="rId7">
        <w:r>
          <w:rPr>
            <w:rStyle w:val="LinkdaInternet"/>
            <w:rFonts w:eastAsia="Times New Roman" w:cs="Arial" w:ascii="Calibri" w:hAnsi="Calibri"/>
            <w:b w:val="false"/>
            <w:bCs w:val="false"/>
            <w:i w:val="false"/>
            <w:iCs w:val="false"/>
            <w:color w:val="000000"/>
            <w:sz w:val="20"/>
            <w:szCs w:val="20"/>
            <w:shd w:fill="FFFFFF" w:val="clear"/>
            <w:lang w:eastAsia="pt-BR"/>
          </w:rPr>
          <w:t>Lei nº 14.133, de 2021</w:t>
        </w:r>
      </w:hyperlink>
      <w:r>
        <w:rPr>
          <w:rFonts w:eastAsia="Times New Roman" w:cs="Arial" w:ascii="Calibri" w:hAnsi="Calibri"/>
          <w:b w:val="false"/>
          <w:bCs w:val="false"/>
          <w:i w:val="false"/>
          <w:iCs w:val="false"/>
          <w:color w:val="000000"/>
          <w:sz w:val="20"/>
          <w:szCs w:val="20"/>
          <w:shd w:fill="FFFFFF" w:val="clear"/>
          <w:lang w:eastAsia="pt-BR"/>
        </w:rPr>
        <w:t xml:space="preserve">, ou em outras leis de licitações e contratos da Administração Pública que também sejam tipificados como atos lesivos </w:t>
      </w:r>
      <w:hyperlink r:id="rId8">
        <w:r>
          <w:rPr>
            <w:rStyle w:val="LinkdaInternet"/>
            <w:rFonts w:eastAsia="Times New Roman" w:cs="Arial" w:ascii="Calibri" w:hAnsi="Calibri"/>
            <w:b w:val="false"/>
            <w:bCs w:val="false"/>
            <w:i w:val="false"/>
            <w:iCs w:val="false"/>
            <w:color w:val="000000"/>
            <w:sz w:val="20"/>
            <w:szCs w:val="20"/>
            <w:shd w:fill="FFFFFF" w:val="clear"/>
            <w:lang w:eastAsia="pt-BR"/>
          </w:rPr>
          <w:t>na Lei nº 12.846, de 2013</w:t>
        </w:r>
      </w:hyperlink>
      <w:r>
        <w:rPr>
          <w:rFonts w:eastAsia="Times New Roman" w:cs="Arial" w:ascii="Calibri" w:hAnsi="Calibri"/>
          <w:b w:val="false"/>
          <w:bCs w:val="false"/>
          <w:i w:val="false"/>
          <w:iCs w:val="false"/>
          <w:color w:val="000000"/>
          <w:sz w:val="20"/>
          <w:szCs w:val="20"/>
          <w:shd w:fill="FFFFFF" w:val="clear"/>
          <w:lang w:eastAsia="pt-BR"/>
        </w:rPr>
        <w:t xml:space="preserve">, serão apurados e julgados conjuntamente, nos mesmos autos, observados o rito procedimental e autoridade competente definidos na referida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"art159"</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Lei (art. 159</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2"/>
        <w:numPr>
          <w:ilvl w:val="1"/>
          <w:numId w:val="248"/>
        </w:numPr>
        <w:ind w:left="0" w:hanging="0"/>
        <w:rPr/>
      </w:pPr>
      <w:r>
        <w:rPr>
          <w:rFonts w:eastAsia="Times New Roman" w:cs="Arial" w:ascii="Calibri" w:hAnsi="Calibri"/>
          <w:b w:val="false"/>
          <w:bCs w:val="false"/>
          <w:i w:val="false"/>
          <w:iCs w:val="false"/>
          <w:color w:val="000000"/>
          <w:sz w:val="20"/>
          <w:szCs w:val="20"/>
          <w:shd w:fill="FFFFFF" w:val="clear"/>
          <w:lang w:eastAsia="pt-B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"art160"</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160,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2"/>
        <w:numPr>
          <w:ilvl w:val="1"/>
          <w:numId w:val="249"/>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 </w:t>
      </w:r>
      <w:r>
        <w:rPr>
          <w:rFonts w:eastAsia="Times New Roman" w:cs="Arial" w:ascii="Calibri" w:hAnsi="Calibri"/>
          <w:b w:val="false"/>
          <w:bCs w:val="false"/>
          <w:i w:val="false"/>
          <w:iCs w:val="false"/>
          <w:color w:val="000000"/>
          <w:sz w:val="20"/>
          <w:szCs w:val="20"/>
          <w:shd w:fill="FFFFFF" w:val="clear"/>
          <w:lang w:eastAsia="pt-B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"art161"</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161,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2"/>
        <w:numPr>
          <w:ilvl w:val="1"/>
          <w:numId w:val="250"/>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As sanções de impedimento de licitar e contratar e declaração de inidoneidade para licitar ou contratar são passíveis de reabilitação na forma do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"art163"</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163 da Lei nº 14.133/21.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p>
    <w:p>
      <w:pPr>
        <w:pStyle w:val="Nivel2"/>
        <w:numPr>
          <w:ilvl w:val="1"/>
          <w:numId w:val="251"/>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LinkdaInternet"/>
            <w:rFonts w:eastAsia="Times New Roman" w:cs="Arial" w:ascii="Calibri" w:hAnsi="Calibri"/>
            <w:b w:val="false"/>
            <w:bCs w:val="false"/>
            <w:i w:val="false"/>
            <w:iCs w:val="false"/>
            <w:color w:val="000000"/>
            <w:sz w:val="20"/>
            <w:szCs w:val="20"/>
            <w:shd w:fill="FFFFFF" w:val="clear"/>
            <w:lang w:eastAsia="pt-BR"/>
          </w:rPr>
          <w:t>Instrução Normativa SEGES/ME nº 26, de 13 de abril de 2022</w:t>
        </w:r>
      </w:hyperlink>
      <w:r>
        <w:rPr>
          <w:rFonts w:eastAsia="Times New Roman" w:cs="Arial" w:ascii="Calibri" w:hAnsi="Calibri"/>
          <w:b w:val="false"/>
          <w:bCs w:val="false"/>
          <w:i w:val="false"/>
          <w:iCs w:val="false"/>
          <w:color w:val="000000"/>
          <w:sz w:val="20"/>
          <w:szCs w:val="20"/>
          <w:shd w:fill="FFFFFF" w:val="clear"/>
          <w:lang w:eastAsia="pt-BR"/>
        </w:rPr>
        <w:t xml:space="preserve">. </w:t>
      </w:r>
    </w:p>
    <w:p>
      <w:pPr>
        <w:pStyle w:val="Nivel01"/>
        <w:numPr>
          <w:ilvl w:val="0"/>
          <w:numId w:val="252"/>
        </w:numPr>
        <w:ind w:left="0" w:hanging="0"/>
        <w:rPr/>
      </w:pPr>
      <w:r>
        <w:rPr>
          <w:rFonts w:eastAsia="Times New Roman" w:cs="Arial" w:ascii="Calibri" w:hAnsi="Calibri"/>
          <w:b/>
          <w:bCs/>
          <w:i w:val="false"/>
          <w:iCs w:val="false"/>
          <w:color w:val="000000"/>
          <w:sz w:val="20"/>
          <w:szCs w:val="20"/>
          <w:shd w:fill="FFFFFF" w:val="clear"/>
          <w:lang w:eastAsia="pt-BR"/>
        </w:rPr>
        <w:t>CLÁUSULA DÉCIMA TERCEIRA – DA EXTINÇÃO CONTRATUAL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XIX</w:t>
      </w:r>
      <w:r>
        <w:rPr>
          <w:rStyle w:val="LinkdaInternet"/>
          <w:sz w:val="20"/>
          <w:i w:val="false"/>
          <w:b/>
          <w:shd w:fill="FFFFFF" w:val="clear"/>
          <w:szCs w:val="20"/>
          <w:iCs w:val="false"/>
          <w:bCs/>
          <w:rFonts w:eastAsia="Times New Roman" w:cs="Arial" w:ascii="Calibri" w:hAnsi="Calibri"/>
          <w:color w:val="000000"/>
          <w:lang w:eastAsia="pt-BR"/>
        </w:rPr>
        <w:fldChar w:fldCharType="end"/>
      </w:r>
      <w:r>
        <w:rPr>
          <w:rFonts w:eastAsia="Times New Roman" w:cs="Arial" w:ascii="Calibri" w:hAnsi="Calibri"/>
          <w:b/>
          <w:bCs/>
          <w:i w:val="false"/>
          <w:iCs w:val="false"/>
          <w:color w:val="000000"/>
          <w:sz w:val="20"/>
          <w:szCs w:val="20"/>
          <w:shd w:fill="FFFFFF" w:val="clear"/>
          <w:lang w:eastAsia="pt-BR"/>
        </w:rPr>
        <w:t>)</w:t>
      </w:r>
    </w:p>
    <w:p>
      <w:pPr>
        <w:pStyle w:val="Nvel2Red"/>
        <w:numPr>
          <w:ilvl w:val="1"/>
          <w:numId w:val="253"/>
        </w:numPr>
        <w:ind w:left="0" w:hanging="0"/>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O contrato será extinto quando cumpridas as obrigações de ambas as partes, ainda que isso ocorra antes do prazo estipulado para tanto.</w:t>
      </w:r>
    </w:p>
    <w:p>
      <w:pPr>
        <w:pStyle w:val="Nvel2Red"/>
        <w:numPr>
          <w:ilvl w:val="1"/>
          <w:numId w:val="254"/>
        </w:numPr>
        <w:ind w:left="0" w:hanging="0"/>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255"/>
        </w:numPr>
        <w:ind w:left="0" w:hanging="0"/>
        <w:rPr/>
      </w:pPr>
      <w:r>
        <w:rPr>
          <w:rFonts w:eastAsia="Times New Roman" w:cs="Arial" w:ascii="Calibri" w:hAnsi="Calibri"/>
          <w:b w:val="false"/>
          <w:bCs w:val="false"/>
          <w:i w:val="false"/>
          <w:iCs w:val="false"/>
          <w:color w:val="000000"/>
          <w:sz w:val="20"/>
          <w:szCs w:val="20"/>
          <w:shd w:fill="auto" w:val="clear"/>
          <w:lang w:eastAsia="pt-BR"/>
        </w:rPr>
        <w:t>Quando a não conclusão do contrato referida no item anterior decorrer de culpa do contratado:</w:t>
      </w:r>
    </w:p>
    <w:p>
      <w:pPr>
        <w:pStyle w:val="ListParagraph"/>
        <w:numPr>
          <w:ilvl w:val="0"/>
          <w:numId w:val="4"/>
        </w:numPr>
        <w:suppressAutoHyphens w:val="true"/>
        <w:spacing w:lineRule="auto" w:line="276" w:before="120" w:after="120"/>
        <w:ind w:left="284" w:hanging="0"/>
        <w:contextualSpacing/>
        <w:jc w:val="both"/>
        <w:rPr/>
      </w:pPr>
      <w:r>
        <w:rPr>
          <w:rFonts w:eastAsia="Times New Roman" w:cs="Arial" w:ascii="Calibri" w:hAnsi="Calibri"/>
          <w:b w:val="false"/>
          <w:bCs w:val="false"/>
          <w:i w:val="false"/>
          <w:iCs w:val="false"/>
          <w:color w:val="000000"/>
          <w:sz w:val="20"/>
          <w:szCs w:val="20"/>
          <w:shd w:fill="auto" w:val="clear"/>
          <w:lang w:eastAsia="pt-BR"/>
        </w:rPr>
        <w:t xml:space="preserve">ficará ele constituído em mora, sendo-lhe aplicáveis as respectivas sanções administrativas; e  </w:t>
      </w:r>
    </w:p>
    <w:p>
      <w:pPr>
        <w:pStyle w:val="ListParagraph"/>
        <w:numPr>
          <w:ilvl w:val="0"/>
          <w:numId w:val="4"/>
        </w:numPr>
        <w:suppressAutoHyphens w:val="true"/>
        <w:spacing w:lineRule="auto" w:line="276" w:before="120" w:after="120"/>
        <w:ind w:left="284" w:hanging="0"/>
        <w:contextualSpacing/>
        <w:jc w:val="both"/>
        <w:rPr/>
      </w:pPr>
      <w:r>
        <w:rPr>
          <w:rFonts w:eastAsia="Times New Roman" w:cs="Arial" w:ascii="Calibri" w:hAnsi="Calibri"/>
          <w:b w:val="false"/>
          <w:bCs w:val="false"/>
          <w:i w:val="false"/>
          <w:iCs w:val="false"/>
          <w:color w:val="000000"/>
          <w:sz w:val="20"/>
          <w:szCs w:val="20"/>
          <w:shd w:fill="auto" w:val="clear"/>
          <w:lang w:eastAsia="pt-BR"/>
        </w:rPr>
        <w:t>poderá a Administração optar pela extinção do contrato e, nesse caso, adotará as medidas admitidas em lei para a continuidade da execução contratual.</w:t>
      </w:r>
    </w:p>
    <w:p>
      <w:pPr>
        <w:pStyle w:val="Nvel2Red"/>
        <w:numPr>
          <w:ilvl w:val="0"/>
          <w:numId w:val="0"/>
        </w:numPr>
        <w:ind w:left="0" w:hanging="0"/>
        <w:rPr>
          <w:rFonts w:ascii="Calibri" w:hAnsi="Calibri" w:eastAsia="Times New Roman" w:cs="Arial"/>
          <w:b w:val="false"/>
          <w:b w:val="false"/>
          <w:bCs w:val="false"/>
          <w:i w:val="false"/>
          <w:i w:val="false"/>
          <w:iCs w:val="false"/>
          <w:color w:val="000000"/>
          <w:sz w:val="20"/>
          <w:szCs w:val="20"/>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r>
    </w:p>
    <w:p>
      <w:pPr>
        <w:pStyle w:val="Nvel2Red"/>
        <w:numPr>
          <w:ilvl w:val="1"/>
          <w:numId w:val="256"/>
        </w:numPr>
        <w:ind w:left="0" w:hanging="0"/>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O contrato poderá ser extinto antes do prazo nele fixado, sem ônus para o contratante, quando esta não dispuser de créditos orçamentários para sua continuidade ou quando entender que o contrato não mais lhe oferece vantagem.</w:t>
      </w:r>
    </w:p>
    <w:p>
      <w:pPr>
        <w:pStyle w:val="Nvel2Red"/>
        <w:numPr>
          <w:ilvl w:val="1"/>
          <w:numId w:val="257"/>
        </w:numPr>
        <w:ind w:left="0" w:hanging="0"/>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A extinção nesta hipótese ocorrerá na próxima data de aniversário do contrato, desde que haja a notificação do contratado pelo contratante nesse sentido com pelo menos 2 (dois) meses de antecedência desse dia.</w:t>
      </w:r>
    </w:p>
    <w:p>
      <w:pPr>
        <w:pStyle w:val="Nvel2Red"/>
        <w:numPr>
          <w:ilvl w:val="1"/>
          <w:numId w:val="258"/>
        </w:numPr>
        <w:ind w:left="0" w:hanging="0"/>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Caso a notificação da não-continuidade do contrato de que trata este subitem ocorra com menos de 2 (dois) meses da data de aniversário, a extinção contratual ocorrerá após 2 (dois) meses da data da comunicação.</w:t>
      </w:r>
    </w:p>
    <w:p>
      <w:pPr>
        <w:pStyle w:val="Nivel2"/>
        <w:widowControl/>
        <w:numPr>
          <w:ilvl w:val="1"/>
          <w:numId w:val="259"/>
        </w:numPr>
        <w:suppressAutoHyphens w:val="true"/>
        <w:bidi w:val="0"/>
        <w:spacing w:lineRule="auto" w:line="276" w:before="120" w:after="120"/>
        <w:ind w:left="0" w:right="0" w:hanging="0"/>
        <w:jc w:val="both"/>
        <w:rPr/>
      </w:pPr>
      <w:r>
        <w:rPr>
          <w:rFonts w:eastAsia="Times New Roman" w:cs="Arial" w:ascii="Calibri" w:hAnsi="Calibri"/>
          <w:b w:val="false"/>
          <w:bCs w:val="false"/>
          <w:i w:val="false"/>
          <w:iCs w:val="false"/>
          <w:color w:val="000000"/>
          <w:sz w:val="20"/>
          <w:szCs w:val="20"/>
          <w:shd w:fill="auto" w:val="clear"/>
          <w:lang w:eastAsia="pt-BR"/>
        </w:rPr>
        <w:t xml:space="preserve">O contrato poderá ser extinto antes de cumpridas as obrigações nele estipuladas, ou antes do prazo nele fixado, por algum dos motivos previstos no </w:t>
      </w:r>
      <w:r>
        <w:fldChar w:fldCharType="begin"/>
      </w:r>
      <w:r>
        <w:rPr>
          <w:rStyle w:val="LinkdaInternet"/>
          <w:sz w:val="20"/>
          <w:i w:val="false"/>
          <w:b w:val="false"/>
          <w:shd w:fill="auto" w:val="clear"/>
          <w:szCs w:val="20"/>
          <w:iCs w:val="false"/>
          <w:bCs w:val="false"/>
          <w:rFonts w:eastAsia="Times New Roman" w:cs="Arial" w:ascii="Calibri" w:hAnsi="Calibri"/>
          <w:color w:val="000000"/>
          <w:lang w:eastAsia="pt-BR"/>
        </w:rPr>
        <w:instrText xml:space="preserve"> HYPERLINK "http://www.planalto.gov.br/ccivil_03/_ato2019-2022/2021/lei/L14133.htm" \l "art137"</w:instrText>
      </w:r>
      <w:r>
        <w:rPr>
          <w:rStyle w:val="LinkdaInternet"/>
          <w:sz w:val="20"/>
          <w:i w:val="false"/>
          <w:b w:val="false"/>
          <w:shd w:fill="auto"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auto" w:val="clear"/>
          <w:lang w:eastAsia="pt-BR"/>
        </w:rPr>
        <w:t>artigo 137 da Lei nº 14.133/21</w:t>
      </w:r>
      <w:r>
        <w:rPr>
          <w:rStyle w:val="LinkdaInternet"/>
          <w:sz w:val="20"/>
          <w:i w:val="false"/>
          <w:b w:val="false"/>
          <w:shd w:fill="auto"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auto" w:val="clear"/>
          <w:lang w:eastAsia="pt-BR"/>
        </w:rPr>
        <w:t>, bem como amigavelmente, assegurados o contraditório e a ampla defesa.</w:t>
      </w:r>
    </w:p>
    <w:p>
      <w:pPr>
        <w:pStyle w:val="Nivel3"/>
        <w:numPr>
          <w:ilvl w:val="2"/>
          <w:numId w:val="260"/>
        </w:numPr>
        <w:ind w:left="284" w:hanging="0"/>
        <w:rPr/>
      </w:pPr>
      <w:r>
        <w:rPr>
          <w:rFonts w:eastAsia="Times New Roman" w:cs="Arial" w:ascii="Calibri" w:hAnsi="Calibri"/>
          <w:b w:val="false"/>
          <w:bCs w:val="false"/>
          <w:i w:val="false"/>
          <w:iCs w:val="false"/>
          <w:color w:val="000000"/>
          <w:sz w:val="20"/>
          <w:szCs w:val="20"/>
          <w:shd w:fill="auto" w:val="clear"/>
          <w:lang w:eastAsia="pt-BR"/>
        </w:rPr>
        <w:t xml:space="preserve">Nesta hipótese, aplicam-se também os </w:t>
      </w:r>
      <w:r>
        <w:fldChar w:fldCharType="begin"/>
      </w:r>
      <w:r>
        <w:rPr>
          <w:rStyle w:val="LinkdaInternet"/>
          <w:sz w:val="20"/>
          <w:i w:val="false"/>
          <w:b w:val="false"/>
          <w:shd w:fill="auto" w:val="clear"/>
          <w:szCs w:val="20"/>
          <w:iCs w:val="false"/>
          <w:bCs w:val="false"/>
          <w:rFonts w:eastAsia="Times New Roman" w:cs="Arial" w:ascii="Calibri" w:hAnsi="Calibri"/>
          <w:color w:val="000000"/>
          <w:lang w:eastAsia="pt-BR"/>
        </w:rPr>
        <w:instrText xml:space="preserve"> HYPERLINK "http://www.planalto.gov.br/ccivil_03/_ato2019-2022/2021/lei/L14133.htm" \l "art138"</w:instrText>
      </w:r>
      <w:r>
        <w:rPr>
          <w:rStyle w:val="LinkdaInternet"/>
          <w:sz w:val="20"/>
          <w:i w:val="false"/>
          <w:b w:val="false"/>
          <w:shd w:fill="auto"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auto" w:val="clear"/>
          <w:lang w:eastAsia="pt-BR"/>
        </w:rPr>
        <w:t>artigos 138 e 139</w:t>
      </w:r>
      <w:r>
        <w:rPr>
          <w:rStyle w:val="LinkdaInternet"/>
          <w:sz w:val="20"/>
          <w:i w:val="false"/>
          <w:b w:val="false"/>
          <w:shd w:fill="auto"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auto" w:val="clear"/>
          <w:lang w:eastAsia="pt-BR"/>
        </w:rPr>
        <w:t xml:space="preserve"> da mesma Lei.</w:t>
      </w:r>
    </w:p>
    <w:p>
      <w:pPr>
        <w:pStyle w:val="Nivel3"/>
        <w:numPr>
          <w:ilvl w:val="2"/>
          <w:numId w:val="261"/>
        </w:numPr>
        <w:ind w:left="284" w:hanging="0"/>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A alteração social ou a modificação da finalidade ou da estrutura da empresa não ensejará a extinção se não restringir sua capacidade de concluir o contrato.</w:t>
      </w:r>
    </w:p>
    <w:p>
      <w:pPr>
        <w:pStyle w:val="Nivel4"/>
        <w:numPr>
          <w:ilvl w:val="3"/>
          <w:numId w:val="262"/>
        </w:numPr>
        <w:ind w:left="567" w:hanging="0"/>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Se a operação implicar mudança da pessoa jurídica contratada, deverá ser formalizado termo aditivo para alteração subjetiva.</w:t>
      </w:r>
    </w:p>
    <w:p>
      <w:pPr>
        <w:pStyle w:val="Nivel2"/>
        <w:numPr>
          <w:ilvl w:val="1"/>
          <w:numId w:val="263"/>
        </w:numPr>
        <w:ind w:left="0" w:hanging="0"/>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O termo de extinção, sempre que possível, será precedido:</w:t>
      </w:r>
    </w:p>
    <w:p>
      <w:pPr>
        <w:pStyle w:val="Nivel4"/>
        <w:numPr>
          <w:ilvl w:val="3"/>
          <w:numId w:val="264"/>
        </w:numPr>
        <w:ind w:left="567"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auto" w:val="clear"/>
          <w:lang w:eastAsia="pt-BR"/>
        </w:rPr>
        <w:t>Balanço dos eventos contr</w:t>
      </w:r>
      <w:r>
        <w:rPr>
          <w:rFonts w:eastAsia="Times New Roman" w:cs="Arial" w:ascii="Calibri" w:hAnsi="Calibri"/>
          <w:b w:val="false"/>
          <w:bCs w:val="false"/>
          <w:i w:val="false"/>
          <w:iCs w:val="false"/>
          <w:color w:val="000000"/>
          <w:sz w:val="20"/>
          <w:szCs w:val="20"/>
          <w:shd w:fill="FFFFFF" w:val="clear"/>
          <w:lang w:eastAsia="pt-BR"/>
        </w:rPr>
        <w:t>atuais já cumpridos ou parcialmente cumpridos;</w:t>
      </w:r>
    </w:p>
    <w:p>
      <w:pPr>
        <w:pStyle w:val="Nivel4"/>
        <w:numPr>
          <w:ilvl w:val="3"/>
          <w:numId w:val="265"/>
        </w:numPr>
        <w:ind w:left="567"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Relação dos pagamentos já efetuados e ainda devidos;</w:t>
      </w:r>
    </w:p>
    <w:p>
      <w:pPr>
        <w:pStyle w:val="Nivel4"/>
        <w:numPr>
          <w:ilvl w:val="3"/>
          <w:numId w:val="266"/>
        </w:numPr>
        <w:ind w:left="567"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Indenizações e multas.</w:t>
      </w:r>
    </w:p>
    <w:p>
      <w:pPr>
        <w:pStyle w:val="Nivel2"/>
        <w:numPr>
          <w:ilvl w:val="1"/>
          <w:numId w:val="267"/>
        </w:numPr>
        <w:ind w:left="0" w:hanging="0"/>
        <w:rPr/>
      </w:pPr>
      <w:r>
        <w:rPr>
          <w:rFonts w:eastAsia="Times New Roman" w:cs="Arial" w:ascii="Calibri" w:hAnsi="Calibri"/>
          <w:b w:val="false"/>
          <w:bCs w:val="false"/>
          <w:i w:val="false"/>
          <w:iCs w:val="false"/>
          <w:color w:val="000000"/>
          <w:sz w:val="20"/>
          <w:szCs w:val="20"/>
          <w:shd w:fill="FFFFFF" w:val="clear"/>
          <w:lang w:eastAsia="pt-BR"/>
        </w:rPr>
        <w:t>A extinção do contrato não configura óbice para o reconhecimento do desequilíbrio econômico-financeiro, hipótese em que será concedida indenização por meio de termo indenizatório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"art131"</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131, caput,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 xml:space="preserve"> </w:t>
      </w:r>
    </w:p>
    <w:p>
      <w:pPr>
        <w:pStyle w:val="Nivel2"/>
        <w:numPr>
          <w:ilvl w:val="1"/>
          <w:numId w:val="268"/>
        </w:numPr>
        <w:ind w:left="0" w:hanging="0"/>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69"/>
        </w:numPr>
        <w:ind w:left="0" w:hanging="0"/>
        <w:rPr/>
      </w:pPr>
      <w:r>
        <w:rPr>
          <w:rFonts w:eastAsia="Times New Roman" w:cs="Arial" w:ascii="Calibri" w:hAnsi="Calibri"/>
          <w:b/>
          <w:bCs/>
          <w:i w:val="false"/>
          <w:iCs w:val="false"/>
          <w:color w:val="000000"/>
          <w:sz w:val="20"/>
          <w:szCs w:val="20"/>
          <w:shd w:fill="FFFFFF" w:val="clear"/>
          <w:lang w:eastAsia="pt-BR"/>
        </w:rPr>
        <w:t>CLÁUSULA DÉCIMA QUARTA – DOTAÇÃO ORÇAMENTÁRIA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VIII</w:t>
      </w:r>
      <w:r>
        <w:rPr>
          <w:rStyle w:val="LinkdaInternet"/>
          <w:sz w:val="20"/>
          <w:i w:val="false"/>
          <w:b/>
          <w:shd w:fill="FFFFFF" w:val="clear"/>
          <w:szCs w:val="20"/>
          <w:iCs w:val="false"/>
          <w:bCs/>
          <w:rFonts w:eastAsia="Times New Roman" w:cs="Arial" w:ascii="Calibri" w:hAnsi="Calibri"/>
          <w:color w:val="000000"/>
          <w:lang w:eastAsia="pt-BR"/>
        </w:rPr>
        <w:fldChar w:fldCharType="end"/>
      </w:r>
      <w:r>
        <w:rPr>
          <w:rFonts w:eastAsia="Times New Roman" w:cs="Arial" w:ascii="Calibri" w:hAnsi="Calibri"/>
          <w:b/>
          <w:bCs/>
          <w:i w:val="false"/>
          <w:iCs w:val="false"/>
          <w:color w:val="000000"/>
          <w:sz w:val="20"/>
          <w:szCs w:val="20"/>
          <w:shd w:fill="FFFFFF" w:val="clear"/>
          <w:lang w:eastAsia="pt-BR"/>
        </w:rPr>
        <w:t>)</w:t>
      </w:r>
    </w:p>
    <w:p>
      <w:pPr>
        <w:pStyle w:val="Nivel2"/>
        <w:numPr>
          <w:ilvl w:val="1"/>
          <w:numId w:val="270"/>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As despesas decorrentes da presente contratação correrão à conta de recursos específicos consignados no Orçamento Geral da União deste exercício, na dotação abaixo discriminada:</w:t>
      </w:r>
    </w:p>
    <w:p>
      <w:pPr>
        <w:pStyle w:val="Normal"/>
        <w:numPr>
          <w:ilvl w:val="1"/>
          <w:numId w:val="5"/>
        </w:numPr>
        <w:suppressAutoHyphens w:val="true"/>
        <w:spacing w:lineRule="auto" w:line="276" w:before="120" w:after="120"/>
        <w:ind w:left="284" w:firstLine="1134"/>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Gestão/Unidade: </w:t>
      </w:r>
    </w:p>
    <w:p>
      <w:pPr>
        <w:pStyle w:val="Normal"/>
        <w:numPr>
          <w:ilvl w:val="1"/>
          <w:numId w:val="5"/>
        </w:numPr>
        <w:suppressAutoHyphens w:val="true"/>
        <w:spacing w:lineRule="auto" w:line="276" w:before="120" w:after="120"/>
        <w:ind w:left="284" w:firstLine="1134"/>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Fonte de Recursos:  </w:t>
      </w:r>
    </w:p>
    <w:p>
      <w:pPr>
        <w:pStyle w:val="Normal"/>
        <w:numPr>
          <w:ilvl w:val="1"/>
          <w:numId w:val="5"/>
        </w:numPr>
        <w:suppressAutoHyphens w:val="true"/>
        <w:spacing w:lineRule="auto" w:line="276" w:before="120" w:after="120"/>
        <w:ind w:left="284" w:firstLine="1134"/>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Programa de Trabalho: </w:t>
      </w:r>
    </w:p>
    <w:p>
      <w:pPr>
        <w:pStyle w:val="Normal"/>
        <w:numPr>
          <w:ilvl w:val="1"/>
          <w:numId w:val="5"/>
        </w:numPr>
        <w:suppressAutoHyphens w:val="true"/>
        <w:spacing w:lineRule="auto" w:line="276" w:before="120" w:after="120"/>
        <w:ind w:left="284" w:firstLine="1134"/>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Elemento de Despesa: </w:t>
      </w:r>
    </w:p>
    <w:p>
      <w:pPr>
        <w:pStyle w:val="Normal"/>
        <w:numPr>
          <w:ilvl w:val="1"/>
          <w:numId w:val="5"/>
        </w:numPr>
        <w:suppressAutoHyphens w:val="true"/>
        <w:spacing w:lineRule="auto" w:line="276" w:before="120" w:after="120"/>
        <w:ind w:left="284" w:firstLine="1134"/>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Plano Interno: </w:t>
      </w:r>
    </w:p>
    <w:p>
      <w:pPr>
        <w:pStyle w:val="Normal"/>
        <w:numPr>
          <w:ilvl w:val="1"/>
          <w:numId w:val="5"/>
        </w:numPr>
        <w:suppressAutoHyphens w:val="true"/>
        <w:spacing w:lineRule="auto" w:line="276" w:before="120" w:after="120"/>
        <w:ind w:left="284" w:firstLine="1134"/>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Nota de Empenho:</w:t>
      </w:r>
    </w:p>
    <w:p>
      <w:pPr>
        <w:pStyle w:val="Nvel2Red"/>
        <w:numPr>
          <w:ilvl w:val="1"/>
          <w:numId w:val="271"/>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A dotação relativa aos exercícios financeiros subsequentes será indicada após aprovação da Lei Orçamentária respectiva e liberação dos créditos correspondentes, mediante apostilamento.</w:t>
      </w:r>
    </w:p>
    <w:p>
      <w:pPr>
        <w:pStyle w:val="Nivel01"/>
        <w:numPr>
          <w:ilvl w:val="0"/>
          <w:numId w:val="272"/>
        </w:numPr>
        <w:ind w:left="0" w:hanging="0"/>
        <w:rPr/>
      </w:pPr>
      <w:r>
        <w:rPr>
          <w:rFonts w:eastAsia="Times New Roman" w:cs="Arial" w:ascii="Calibri" w:hAnsi="Calibri"/>
          <w:b/>
          <w:bCs/>
          <w:i w:val="false"/>
          <w:iCs w:val="false"/>
          <w:color w:val="000000"/>
          <w:sz w:val="20"/>
          <w:szCs w:val="20"/>
          <w:shd w:fill="FFFFFF" w:val="clear"/>
          <w:lang w:eastAsia="pt-BR"/>
        </w:rPr>
        <w:t>CLÁUSULA DÉCIMA QUINTA – DOS CASOS OMISSOS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III</w:t>
      </w:r>
      <w:r>
        <w:rPr>
          <w:rStyle w:val="LinkdaInternet"/>
          <w:sz w:val="20"/>
          <w:i w:val="false"/>
          <w:b/>
          <w:shd w:fill="FFFFFF" w:val="clear"/>
          <w:szCs w:val="20"/>
          <w:iCs w:val="false"/>
          <w:bCs/>
          <w:rFonts w:eastAsia="Times New Roman" w:cs="Arial" w:ascii="Calibri" w:hAnsi="Calibri"/>
          <w:color w:val="000000"/>
          <w:lang w:eastAsia="pt-BR"/>
        </w:rPr>
        <w:fldChar w:fldCharType="end"/>
      </w:r>
      <w:r>
        <w:rPr>
          <w:rFonts w:eastAsia="Times New Roman" w:cs="Arial" w:ascii="Calibri" w:hAnsi="Calibri"/>
          <w:b/>
          <w:bCs/>
          <w:i w:val="false"/>
          <w:iCs w:val="false"/>
          <w:color w:val="000000"/>
          <w:sz w:val="20"/>
          <w:szCs w:val="20"/>
          <w:shd w:fill="FFFFFF" w:val="clear"/>
          <w:lang w:eastAsia="pt-BR"/>
        </w:rPr>
        <w:t>)</w:t>
      </w:r>
    </w:p>
    <w:p>
      <w:pPr>
        <w:pStyle w:val="Nivel2"/>
        <w:numPr>
          <w:ilvl w:val="1"/>
          <w:numId w:val="273"/>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Os casos omissos serão decididos pelo contratante, segundo as disposições contidas na </w:t>
      </w:r>
      <w:hyperlink r:id="rId10">
        <w:r>
          <w:rPr>
            <w:rStyle w:val="LinkdaInternet"/>
            <w:rFonts w:eastAsia="Times New Roman" w:cs="Arial" w:ascii="Calibri" w:hAnsi="Calibri"/>
            <w:b w:val="false"/>
            <w:bCs w:val="false"/>
            <w:i w:val="false"/>
            <w:iCs w:val="false"/>
            <w:color w:val="000000"/>
            <w:sz w:val="20"/>
            <w:szCs w:val="20"/>
            <w:shd w:fill="FFFFFF" w:val="clear"/>
            <w:lang w:eastAsia="pt-BR"/>
          </w:rPr>
          <w:t>Lei nº 14.133, de 2021</w:t>
        </w:r>
      </w:hyperlink>
      <w:r>
        <w:rPr>
          <w:rFonts w:eastAsia="Times New Roman" w:cs="Arial" w:ascii="Calibri" w:hAnsi="Calibri"/>
          <w:b w:val="false"/>
          <w:bCs w:val="false"/>
          <w:i w:val="false"/>
          <w:iCs w:val="false"/>
          <w:color w:val="000000"/>
          <w:sz w:val="20"/>
          <w:szCs w:val="20"/>
          <w:shd w:fill="FFFFFF" w:val="clear"/>
          <w:lang w:eastAsia="pt-BR"/>
        </w:rPr>
        <w:t xml:space="preserve">, e demais normas federais aplicáveis e, subsidiariamente, segundo as disposições contidas na </w:t>
      </w:r>
      <w:hyperlink r:id="rId11">
        <w:r>
          <w:rPr>
            <w:rStyle w:val="LinkdaInternet"/>
            <w:rFonts w:eastAsia="Times New Roman" w:cs="Arial" w:ascii="Calibri" w:hAnsi="Calibri"/>
            <w:b w:val="false"/>
            <w:bCs w:val="false"/>
            <w:i w:val="false"/>
            <w:iCs w:val="false"/>
            <w:color w:val="000000"/>
            <w:sz w:val="20"/>
            <w:szCs w:val="20"/>
            <w:shd w:fill="FFFFFF" w:val="clear"/>
            <w:lang w:eastAsia="pt-BR"/>
          </w:rPr>
          <w:t>Lei nº 8.078, de 1990 – Código de Defesa do Consumidor</w:t>
        </w:r>
      </w:hyperlink>
      <w:r>
        <w:rPr>
          <w:rFonts w:eastAsia="Times New Roman" w:cs="Arial" w:ascii="Calibri" w:hAnsi="Calibri"/>
          <w:b w:val="false"/>
          <w:bCs w:val="false"/>
          <w:i w:val="false"/>
          <w:iCs w:val="false"/>
          <w:color w:val="000000"/>
          <w:sz w:val="20"/>
          <w:szCs w:val="20"/>
          <w:shd w:fill="FFFFFF" w:val="clear"/>
          <w:lang w:eastAsia="pt-BR"/>
        </w:rPr>
        <w:t xml:space="preserve"> – e normas e princípios gerais dos contratos.</w:t>
      </w:r>
    </w:p>
    <w:p>
      <w:pPr>
        <w:pStyle w:val="Nivel01"/>
        <w:numPr>
          <w:ilvl w:val="0"/>
          <w:numId w:val="274"/>
        </w:numPr>
        <w:ind w:left="0" w:hanging="0"/>
        <w:rPr>
          <w:rFonts w:ascii="Calibri" w:hAnsi="Calibri" w:eastAsia="Times New Roman" w:cs="Arial"/>
          <w:b/>
          <w:b/>
          <w:bCs/>
          <w:i w:val="false"/>
          <w:i w:val="false"/>
          <w:iCs w:val="false"/>
          <w:color w:val="000000"/>
          <w:sz w:val="20"/>
          <w:szCs w:val="20"/>
          <w:shd w:fill="FFFFFF" w:val="clear"/>
          <w:lang w:eastAsia="pt-BR"/>
        </w:rPr>
      </w:pPr>
      <w:r>
        <w:rPr>
          <w:rFonts w:eastAsia="Times New Roman" w:cs="Arial" w:ascii="Calibri" w:hAnsi="Calibri"/>
          <w:b/>
          <w:bCs/>
          <w:i w:val="false"/>
          <w:iCs w:val="false"/>
          <w:color w:val="000000"/>
          <w:sz w:val="20"/>
          <w:szCs w:val="20"/>
          <w:shd w:fill="FFFFFF" w:val="clear"/>
          <w:lang w:eastAsia="pt-BR"/>
        </w:rPr>
        <w:t>CLÁUSULA DÉCIMA SEXTA – ALTERAÇÕES</w:t>
      </w:r>
    </w:p>
    <w:p>
      <w:pPr>
        <w:pStyle w:val="Nivel2"/>
        <w:numPr>
          <w:ilvl w:val="1"/>
          <w:numId w:val="275"/>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Eventuais alterações contratuais reger-se-ão pela disciplina dos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"art124"</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arts. 124 e seguintes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2"/>
        <w:numPr>
          <w:ilvl w:val="1"/>
          <w:numId w:val="276"/>
        </w:numPr>
        <w:ind w:left="0" w:hanging="0"/>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77"/>
        </w:numPr>
        <w:ind w:left="0" w:hanging="0"/>
        <w:rPr>
          <w:rFonts w:ascii="Calibri" w:hAnsi="Calibri" w:eastAsia="Times New Roman" w:cs="Arial"/>
          <w:b w:val="false"/>
          <w:b w:val="false"/>
          <w:bCs w:val="false"/>
          <w:i w:val="false"/>
          <w:i w:val="false"/>
          <w:iCs w:val="false"/>
          <w:color w:val="auto"/>
          <w:sz w:val="20"/>
          <w:szCs w:val="20"/>
          <w:highlight w:val="none"/>
          <w:shd w:fill="auto" w:val="clear"/>
          <w:lang w:eastAsia="pt-BR"/>
        </w:rPr>
      </w:pPr>
      <w:r>
        <w:rPr>
          <w:rFonts w:eastAsia="Times New Roman" w:cs="Arial" w:ascii="Calibri" w:hAnsi="Calibri"/>
          <w:b w:val="false"/>
          <w:bCs w:val="false"/>
          <w:i w:val="false"/>
          <w:iCs w:val="false"/>
          <w:color w:val="000000"/>
          <w:sz w:val="20"/>
          <w:szCs w:val="20"/>
          <w:shd w:fill="auto" w:val="clear"/>
          <w:lang w:eastAsia="pt-B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78"/>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Registros que não caracterizam alteração do contrato podem ser realizados por simples apostila, dispensada a celebração de termo aditivo, na forma do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"art136"</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136 da Lei nº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w:t>
      </w:r>
    </w:p>
    <w:p>
      <w:pPr>
        <w:pStyle w:val="Nivel01"/>
        <w:numPr>
          <w:ilvl w:val="0"/>
          <w:numId w:val="279"/>
        </w:numPr>
        <w:ind w:left="0" w:hanging="0"/>
        <w:rPr>
          <w:rFonts w:ascii="Calibri" w:hAnsi="Calibri" w:eastAsia="Times New Roman" w:cs="Arial"/>
          <w:b/>
          <w:b/>
          <w:bCs/>
          <w:i w:val="false"/>
          <w:i w:val="false"/>
          <w:iCs w:val="false"/>
          <w:color w:val="000000"/>
          <w:sz w:val="20"/>
          <w:szCs w:val="20"/>
          <w:shd w:fill="FFFFFF" w:val="clear"/>
          <w:lang w:eastAsia="pt-BR"/>
        </w:rPr>
      </w:pPr>
      <w:r>
        <w:rPr>
          <w:rFonts w:eastAsia="Times New Roman" w:cs="Arial" w:ascii="Calibri" w:hAnsi="Calibri"/>
          <w:b/>
          <w:bCs/>
          <w:i w:val="false"/>
          <w:iCs w:val="false"/>
          <w:color w:val="000000"/>
          <w:sz w:val="20"/>
          <w:szCs w:val="20"/>
          <w:shd w:fill="FFFFFF" w:val="clear"/>
          <w:lang w:eastAsia="pt-BR"/>
        </w:rPr>
        <w:t>CLÁUSULA DÉCIMA SÉTIMA – PUBLICAÇÃO</w:t>
      </w:r>
    </w:p>
    <w:p>
      <w:pPr>
        <w:pStyle w:val="Nivel2"/>
        <w:numPr>
          <w:ilvl w:val="1"/>
          <w:numId w:val="280"/>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Incumbirá ao contratante divulgar o presente instrumento no Portal Nacional de Contratações Públicas (PNCP), na forma prevista no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"art94"</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94 da Lei 14.133, de 2021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FFFFFF" w:val="clear"/>
          <w:lang w:eastAsia="pt-BR"/>
        </w:rPr>
        <w:t xml:space="preserve">, bem como no respectivo sítio oficial na Internet, em atenção ao </w:t>
      </w:r>
      <w:r>
        <w:rPr>
          <w:rFonts w:eastAsia="Times New Roman" w:cs="Arial" w:ascii="Calibri" w:hAnsi="Calibri"/>
          <w:b w:val="false"/>
          <w:bCs w:val="false"/>
          <w:i w:val="false"/>
          <w:iCs w:val="false"/>
          <w:color w:val="000000"/>
          <w:sz w:val="20"/>
          <w:szCs w:val="20"/>
          <w:shd w:fill="auto" w:val="clear"/>
          <w:lang w:eastAsia="pt-BR"/>
        </w:rPr>
        <w:t xml:space="preserve">art. 91, caput, da Lei n.º 14.133, de 2021, e ao </w:t>
      </w:r>
      <w:r>
        <w:fldChar w:fldCharType="begin"/>
      </w:r>
      <w:r>
        <w:rPr>
          <w:rStyle w:val="LinkdaInternet"/>
          <w:sz w:val="20"/>
          <w:i w:val="false"/>
          <w:b w:val="false"/>
          <w:shd w:fill="auto" w:val="clear"/>
          <w:szCs w:val="20"/>
          <w:iCs w:val="false"/>
          <w:bCs w:val="false"/>
          <w:rFonts w:eastAsia="Times New Roman" w:cs="Arial" w:ascii="Calibri" w:hAnsi="Calibri"/>
          <w:color w:val="000000"/>
          <w:lang w:eastAsia="pt-BR"/>
        </w:rPr>
        <w:instrText xml:space="preserve"> HYPERLINK "https://www.planalto.gov.br/ccivil_03/_ato2011-2014/2011/lei/l12527.htm" \l "art8§2"</w:instrText>
      </w:r>
      <w:r>
        <w:rPr>
          <w:rStyle w:val="LinkdaInternet"/>
          <w:sz w:val="20"/>
          <w:i w:val="false"/>
          <w:b w:val="false"/>
          <w:shd w:fill="auto"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auto" w:val="clear"/>
          <w:lang w:eastAsia="pt-BR"/>
        </w:rPr>
        <w:t>art. 8º, §2º, da Lei n. 12.527, de 2011</w:t>
      </w:r>
      <w:r>
        <w:rPr>
          <w:rStyle w:val="LinkdaInternet"/>
          <w:sz w:val="20"/>
          <w:i w:val="false"/>
          <w:b w:val="false"/>
          <w:shd w:fill="auto"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auto" w:val="clear"/>
          <w:lang w:eastAsia="pt-BR"/>
        </w:rPr>
        <w:t xml:space="preserve">, c/c </w:t>
      </w:r>
      <w:r>
        <w:fldChar w:fldCharType="begin"/>
      </w:r>
      <w:r>
        <w:rPr>
          <w:rStyle w:val="LinkdaInternet"/>
          <w:sz w:val="20"/>
          <w:i w:val="false"/>
          <w:b w:val="false"/>
          <w:shd w:fill="auto" w:val="clear"/>
          <w:szCs w:val="20"/>
          <w:iCs w:val="false"/>
          <w:bCs w:val="false"/>
          <w:rFonts w:eastAsia="Times New Roman" w:cs="Arial" w:ascii="Calibri" w:hAnsi="Calibri"/>
          <w:color w:val="000000"/>
          <w:lang w:eastAsia="pt-BR"/>
        </w:rPr>
        <w:instrText xml:space="preserve"> HYPERLINK "https://www.planalto.gov.br/ccivil_03/_ato2011-2014/2012/decreto/d7724.htm" \l "art7§3"</w:instrText>
      </w:r>
      <w:r>
        <w:rPr>
          <w:rStyle w:val="LinkdaInternet"/>
          <w:sz w:val="20"/>
          <w:i w:val="false"/>
          <w:b w:val="false"/>
          <w:shd w:fill="auto"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auto" w:val="clear"/>
          <w:lang w:eastAsia="pt-BR"/>
        </w:rPr>
        <w:t>art. 7º, §3º, inciso V, do Decreto n. 7.724, de 2012.</w:t>
      </w:r>
      <w:r>
        <w:rPr>
          <w:rStyle w:val="LinkdaInternet"/>
          <w:sz w:val="20"/>
          <w:i w:val="false"/>
          <w:b w:val="false"/>
          <w:shd w:fill="auto" w:val="clear"/>
          <w:szCs w:val="20"/>
          <w:iCs w:val="false"/>
          <w:bCs w:val="false"/>
          <w:rFonts w:eastAsia="Times New Roman" w:cs="Arial" w:ascii="Calibri" w:hAnsi="Calibri"/>
          <w:color w:val="000000"/>
          <w:lang w:eastAsia="pt-BR"/>
        </w:rPr>
        <w:fldChar w:fldCharType="end"/>
      </w:r>
      <w:r>
        <w:rPr>
          <w:rFonts w:eastAsia="Times New Roman" w:cs="Arial" w:ascii="Calibri" w:hAnsi="Calibri"/>
          <w:b w:val="false"/>
          <w:bCs w:val="false"/>
          <w:i w:val="false"/>
          <w:iCs w:val="false"/>
          <w:color w:val="000000"/>
          <w:sz w:val="20"/>
          <w:szCs w:val="20"/>
          <w:shd w:fill="auto" w:val="clear"/>
          <w:lang w:eastAsia="pt-BR"/>
        </w:rPr>
        <w:t xml:space="preserve"> </w:t>
      </w:r>
    </w:p>
    <w:p>
      <w:pPr>
        <w:pStyle w:val="Nivel01"/>
        <w:numPr>
          <w:ilvl w:val="0"/>
          <w:numId w:val="281"/>
        </w:numPr>
        <w:ind w:left="0" w:hanging="0"/>
        <w:rPr/>
      </w:pPr>
      <w:r>
        <w:rPr>
          <w:rFonts w:eastAsia="Times New Roman" w:cs="Arial" w:ascii="Calibri" w:hAnsi="Calibri"/>
          <w:b/>
          <w:bCs/>
          <w:i w:val="false"/>
          <w:iCs w:val="false"/>
          <w:color w:val="000000"/>
          <w:sz w:val="20"/>
          <w:szCs w:val="20"/>
          <w:shd w:fill="FFFFFF" w:val="clear"/>
          <w:lang w:eastAsia="pt-BR"/>
        </w:rPr>
        <w:t>CLÁUSULA DÉCIMA OITAVA– FORO (</w:t>
      </w:r>
      <w:r>
        <w:fldChar w:fldCharType="begin"/>
      </w:r>
      <w:r>
        <w:rPr>
          <w:rStyle w:val="LinkdaInternet"/>
          <w:sz w:val="20"/>
          <w:i w:val="false"/>
          <w:b/>
          <w:shd w:fill="FFFFFF" w:val="clear"/>
          <w:szCs w:val="20"/>
          <w:iCs w:val="false"/>
          <w:bCs/>
          <w:rFonts w:eastAsia="Times New Roman" w:cs="Arial" w:ascii="Calibri" w:hAnsi="Calibri"/>
          <w:color w:val="000000"/>
          <w:lang w:eastAsia="pt-BR"/>
        </w:rPr>
        <w:instrText xml:space="preserve"> HYPERLINK "http://www.planalto.gov.br/ccivil_03/_ato2019-2022/2021/lei/L14133.htm" \l "art92§1"</w:instrText>
      </w:r>
      <w:r>
        <w:rPr>
          <w:rStyle w:val="LinkdaInternet"/>
          <w:sz w:val="20"/>
          <w:i w:val="false"/>
          <w:b/>
          <w:shd w:fill="FFFFFF" w:val="clear"/>
          <w:szCs w:val="20"/>
          <w:iCs w:val="false"/>
          <w:bCs/>
          <w:rFonts w:eastAsia="Times New Roman" w:cs="Arial" w:ascii="Calibri" w:hAnsi="Calibri"/>
          <w:color w:val="000000"/>
          <w:lang w:eastAsia="pt-BR"/>
        </w:rPr>
        <w:fldChar w:fldCharType="separate"/>
      </w:r>
      <w:r>
        <w:rPr>
          <w:rStyle w:val="LinkdaInternet"/>
          <w:rFonts w:eastAsia="Times New Roman" w:cs="Arial" w:ascii="Calibri" w:hAnsi="Calibri"/>
          <w:b/>
          <w:bCs/>
          <w:i w:val="false"/>
          <w:iCs w:val="false"/>
          <w:color w:val="000000"/>
          <w:sz w:val="20"/>
          <w:szCs w:val="20"/>
          <w:shd w:fill="FFFFFF" w:val="clear"/>
          <w:lang w:eastAsia="pt-BR"/>
        </w:rPr>
        <w:t>art. 92, §1º</w:t>
      </w:r>
      <w:r>
        <w:rPr>
          <w:rStyle w:val="LinkdaInternet"/>
          <w:sz w:val="20"/>
          <w:i w:val="false"/>
          <w:b/>
          <w:shd w:fill="FFFFFF" w:val="clear"/>
          <w:szCs w:val="20"/>
          <w:iCs w:val="false"/>
          <w:bCs/>
          <w:rFonts w:eastAsia="Times New Roman" w:cs="Arial" w:ascii="Calibri" w:hAnsi="Calibri"/>
          <w:color w:val="000000"/>
          <w:lang w:eastAsia="pt-BR"/>
        </w:rPr>
        <w:fldChar w:fldCharType="end"/>
      </w:r>
      <w:r>
        <w:rPr>
          <w:rFonts w:eastAsia="Times New Roman" w:cs="Arial" w:ascii="Calibri" w:hAnsi="Calibri"/>
          <w:b/>
          <w:bCs/>
          <w:i w:val="false"/>
          <w:iCs w:val="false"/>
          <w:color w:val="000000"/>
          <w:sz w:val="20"/>
          <w:szCs w:val="20"/>
          <w:shd w:fill="FFFFFF" w:val="clear"/>
          <w:lang w:eastAsia="pt-BR"/>
        </w:rPr>
        <w:t>)</w:t>
      </w:r>
    </w:p>
    <w:p>
      <w:pPr>
        <w:pStyle w:val="Nivel2"/>
        <w:numPr>
          <w:ilvl w:val="1"/>
          <w:numId w:val="282"/>
        </w:numPr>
        <w:ind w:left="0" w:hanging="0"/>
        <w:rPr/>
      </w:pPr>
      <w:r>
        <w:rPr>
          <w:rFonts w:eastAsia="Times New Roman" w:cs="Arial" w:ascii="Calibri" w:hAnsi="Calibri"/>
          <w:b w:val="false"/>
          <w:bCs w:val="false"/>
          <w:i w:val="false"/>
          <w:iCs w:val="false"/>
          <w:color w:val="000000"/>
          <w:sz w:val="20"/>
          <w:szCs w:val="20"/>
          <w:shd w:fill="FFFFFF" w:val="clear"/>
          <w:lang w:eastAsia="pt-BR"/>
        </w:rPr>
        <w:t xml:space="preserve">Fica eleito o Foro da Justiça Federal em ......, Seção Judiciária de ...... para dirimir os litígios que decorrerem da execução deste Termo de Contrato que não puderem ser compostos pela conciliação, conforme </w:t>
      </w:r>
      <w:r>
        <w:fldChar w:fldCharType="begin"/>
      </w:r>
      <w:r>
        <w:rPr>
          <w:rStyle w:val="LinkdaInternet"/>
          <w:sz w:val="20"/>
          <w:i w:val="false"/>
          <w:b w:val="false"/>
          <w:shd w:fill="FFFFFF" w:val="clear"/>
          <w:szCs w:val="20"/>
          <w:iCs w:val="false"/>
          <w:bCs w:val="false"/>
          <w:rFonts w:eastAsia="Times New Roman" w:cs="Arial" w:ascii="Calibri" w:hAnsi="Calibri"/>
          <w:color w:val="000000"/>
          <w:lang w:eastAsia="pt-BR"/>
        </w:rPr>
        <w:instrText xml:space="preserve"> HYPERLINK "http://www.planalto.gov.br/ccivil_03/_ato2019-2022/2021/lei/L14133.htm" \l "art92§1"</w:instrTex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separate"/>
      </w:r>
      <w:r>
        <w:rPr>
          <w:rStyle w:val="LinkdaInternet"/>
          <w:rFonts w:eastAsia="Times New Roman" w:cs="Arial" w:ascii="Calibri" w:hAnsi="Calibri"/>
          <w:b w:val="false"/>
          <w:bCs w:val="false"/>
          <w:i w:val="false"/>
          <w:iCs w:val="false"/>
          <w:color w:val="000000"/>
          <w:sz w:val="20"/>
          <w:szCs w:val="20"/>
          <w:shd w:fill="FFFFFF" w:val="clear"/>
          <w:lang w:eastAsia="pt-BR"/>
        </w:rPr>
        <w:t>art. 92, §1º, da Lei nº 14.133/21.</w:t>
      </w:r>
      <w:r>
        <w:rPr>
          <w:rStyle w:val="LinkdaInternet"/>
          <w:sz w:val="20"/>
          <w:i w:val="false"/>
          <w:b w:val="false"/>
          <w:shd w:fill="FFFFFF" w:val="clear"/>
          <w:szCs w:val="20"/>
          <w:iCs w:val="false"/>
          <w:bCs w:val="false"/>
          <w:rFonts w:eastAsia="Times New Roman" w:cs="Arial" w:ascii="Calibri" w:hAnsi="Calibri"/>
          <w:color w:val="000000"/>
          <w:lang w:eastAsia="pt-BR"/>
        </w:rPr>
        <w:fldChar w:fldCharType="end"/>
      </w:r>
    </w:p>
    <w:p>
      <w:pPr>
        <w:pStyle w:val="Nivel2"/>
        <w:numPr>
          <w:ilvl w:val="0"/>
          <w:numId w:val="0"/>
        </w:numPr>
        <w:spacing w:lineRule="auto" w:line="312" w:before="120" w:after="288"/>
        <w:ind w:left="0" w:firstLine="709"/>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r>
    </w:p>
    <w:p>
      <w:pPr>
        <w:pStyle w:val="Nivel2"/>
        <w:numPr>
          <w:ilvl w:val="0"/>
          <w:numId w:val="0"/>
        </w:numPr>
        <w:spacing w:lineRule="auto" w:line="312" w:before="120" w:after="288"/>
        <w:ind w:left="0" w:firstLine="709"/>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[Local], [dia] de [mês] de [ano].</w:t>
      </w:r>
    </w:p>
    <w:p>
      <w:pPr>
        <w:pStyle w:val="Normal"/>
        <w:spacing w:lineRule="auto" w:line="312"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_________________________</w:t>
      </w:r>
    </w:p>
    <w:p>
      <w:pPr>
        <w:pStyle w:val="Normal"/>
        <w:spacing w:lineRule="auto" w:line="312"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Representante legal do CONTRATANTE</w:t>
      </w:r>
    </w:p>
    <w:p>
      <w:pPr>
        <w:pStyle w:val="Normal"/>
        <w:spacing w:lineRule="auto" w:line="312"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_________________________</w:t>
      </w:r>
    </w:p>
    <w:p>
      <w:pPr>
        <w:pStyle w:val="Normal"/>
        <w:spacing w:lineRule="auto" w:line="312" w:before="120" w:after="288"/>
        <w:ind w:firstLine="709"/>
        <w:jc w:val="center"/>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Representante legal do CONTRATADO</w:t>
      </w:r>
    </w:p>
    <w:p>
      <w:pPr>
        <w:pStyle w:val="Normal"/>
        <w:spacing w:lineRule="auto" w:line="312" w:before="120" w:after="288"/>
        <w:ind w:firstLine="709"/>
        <w:jc w:val="both"/>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TESTEMUNHAS:</w:t>
      </w:r>
    </w:p>
    <w:p>
      <w:pPr>
        <w:pStyle w:val="Normal"/>
        <w:spacing w:lineRule="auto" w:line="312" w:before="120" w:after="288"/>
        <w:ind w:firstLine="709"/>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1-</w:t>
      </w:r>
    </w:p>
    <w:p>
      <w:pPr>
        <w:pStyle w:val="Normal"/>
        <w:spacing w:lineRule="auto" w:line="312" w:before="120" w:after="288"/>
        <w:ind w:firstLine="709"/>
        <w:rPr>
          <w:rFonts w:ascii="Calibri" w:hAnsi="Calibri" w:eastAsia="Times New Roman" w:cs="Arial"/>
          <w:b w:val="false"/>
          <w:b w:val="false"/>
          <w:bCs w:val="false"/>
          <w:i w:val="false"/>
          <w:i w:val="false"/>
          <w:iCs w:val="false"/>
          <w:color w:val="000000"/>
          <w:sz w:val="20"/>
          <w:szCs w:val="20"/>
          <w:shd w:fill="FFFFFF" w:val="clear"/>
          <w:lang w:eastAsia="pt-BR"/>
        </w:rPr>
      </w:pPr>
      <w:r>
        <w:rPr>
          <w:rFonts w:eastAsia="Times New Roman" w:cs="Arial" w:ascii="Calibri" w:hAnsi="Calibri"/>
          <w:b w:val="false"/>
          <w:bCs w:val="false"/>
          <w:i w:val="false"/>
          <w:iCs w:val="false"/>
          <w:color w:val="000000"/>
          <w:sz w:val="20"/>
          <w:szCs w:val="20"/>
          <w:shd w:fill="FFFFFF" w:val="clear"/>
          <w:lang w:eastAsia="pt-BR"/>
        </w:rPr>
        <w:t xml:space="preserve">2- </w:t>
      </w:r>
    </w:p>
    <w:p>
      <w:pPr>
        <w:pStyle w:val="Normal"/>
        <w:spacing w:lineRule="auto" w:line="312" w:before="120" w:after="288"/>
        <w:ind w:firstLine="709"/>
        <w:rPr>
          <w:rFonts w:ascii="Calibri" w:hAnsi="Calibri" w:eastAsia="Times New Roman" w:cs="Arial"/>
          <w:b w:val="false"/>
          <w:b w:val="false"/>
          <w:bCs w:val="false"/>
          <w:i w:val="false"/>
          <w:i w:val="false"/>
          <w:iCs w:val="false"/>
          <w:color w:val="000000"/>
          <w:sz w:val="20"/>
          <w:szCs w:val="20"/>
          <w:shd w:fill="FFFFFF" w:val="clear"/>
          <w:lang w:eastAsia="pt-BR"/>
        </w:rPr>
      </w:pPr>
      <w:r>
        <w:rPr/>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4206926"/>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jc w:val="left"/>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rPr>
        </w:pPr>
        <w:r>
          <w:rPr>
            <w:rFonts w:cs="Arial" w:ascii="Arial" w:hAnsi="Arial"/>
            <w:sz w:val="14"/>
            <w:szCs w:val="14"/>
          </w:rPr>
          <w:t>Identidade visual pela Secretaria de Gestão e Inovação</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Cabealho"/>
            <w:widowControl w:val="false"/>
            <w:ind w:left="-115" w:hanging="0"/>
            <w:rPr>
              <w:rFonts w:ascii="Arial" w:hAnsi="Arial" w:cs="Arial"/>
              <w:sz w:val="20"/>
              <w:szCs w:val="20"/>
            </w:rPr>
          </w:pPr>
          <w:r>
            <w:rPr>
              <w:rFonts w:cs="Arial" w:ascii="Arial" w:hAnsi="Arial"/>
              <w:sz w:val="20"/>
              <w:szCs w:val="20"/>
            </w:rPr>
            <w:t>TERMO DE CONTRATO ADMINISTRATIVO Nº XXXX/2023</w:t>
          </w:r>
        </w:p>
        <w:p>
          <w:pPr>
            <w:pStyle w:val="Cabealho"/>
            <w:widowControl w:val="false"/>
            <w:ind w:left="-115" w:hanging="0"/>
            <w:rPr/>
          </w:pPr>
          <w:r>
            <w:rPr/>
          </w:r>
        </w:p>
      </w:tc>
      <w:tc>
        <w:tcPr>
          <w:tcW w:w="3021"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6">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8"/>
    <w:lvlOverride w:ilvl="0">
      <w:startOverride w:val="1"/>
    </w:lvlOverride>
  </w:num>
  <w:num w:numId="147">
    <w:abstractNumId w:val="8"/>
    <w:lvlOverride w:ilvl="0"/>
    <w:lvlOverride w:ilvl="1">
      <w:startOverride w:val="1"/>
    </w:lvlOverride>
  </w:num>
  <w:num w:numId="148">
    <w:abstractNumId w:val="8"/>
  </w:num>
  <w:num w:numId="149">
    <w:abstractNumId w:val="8"/>
  </w:num>
  <w:num w:numId="150">
    <w:abstractNumId w:val="8"/>
  </w:num>
  <w:num w:numId="151">
    <w:abstractNumId w:val="8"/>
  </w:num>
  <w:num w:numId="152">
    <w:abstractNumId w:val="8"/>
  </w:num>
  <w:num w:numId="153">
    <w:abstractNumId w:val="8"/>
  </w:num>
  <w:num w:numId="154">
    <w:abstractNumId w:val="8"/>
  </w:num>
  <w:num w:numId="155">
    <w:abstractNumId w:val="8"/>
  </w:num>
  <w:num w:numId="156">
    <w:abstractNumId w:val="8"/>
  </w:num>
  <w:num w:numId="157">
    <w:abstractNumId w:val="8"/>
  </w:num>
  <w:num w:numId="158">
    <w:abstractNumId w:val="8"/>
  </w:num>
  <w:num w:numId="159">
    <w:abstractNumId w:val="8"/>
  </w:num>
  <w:num w:numId="160">
    <w:abstractNumId w:val="8"/>
  </w:num>
  <w:num w:numId="161">
    <w:abstractNumId w:val="8"/>
  </w:num>
  <w:num w:numId="162">
    <w:abstractNumId w:val="8"/>
  </w:num>
  <w:num w:numId="163">
    <w:abstractNumId w:val="8"/>
  </w:num>
  <w:num w:numId="164">
    <w:abstractNumId w:val="8"/>
  </w:num>
  <w:num w:numId="165">
    <w:abstractNumId w:val="8"/>
  </w:num>
  <w:num w:numId="166">
    <w:abstractNumId w:val="8"/>
  </w:num>
  <w:num w:numId="167">
    <w:abstractNumId w:val="8"/>
  </w:num>
  <w:num w:numId="168">
    <w:abstractNumId w:val="8"/>
  </w:num>
  <w:num w:numId="169">
    <w:abstractNumId w:val="8"/>
  </w:num>
  <w:num w:numId="170">
    <w:abstractNumId w:val="8"/>
  </w:num>
  <w:num w:numId="171">
    <w:abstractNumId w:val="8"/>
  </w:num>
  <w:num w:numId="172">
    <w:abstractNumId w:val="8"/>
  </w:num>
  <w:num w:numId="173">
    <w:abstractNumId w:val="8"/>
  </w:num>
  <w:num w:numId="174">
    <w:abstractNumId w:val="8"/>
  </w:num>
  <w:num w:numId="175">
    <w:abstractNumId w:val="8"/>
  </w:num>
  <w:num w:numId="176">
    <w:abstractNumId w:val="8"/>
  </w:num>
  <w:num w:numId="177">
    <w:abstractNumId w:val="8"/>
  </w:num>
  <w:num w:numId="178">
    <w:abstractNumId w:val="8"/>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8"/>
  </w:num>
  <w:num w:numId="186">
    <w:abstractNumId w:val="8"/>
  </w:num>
  <w:num w:numId="187">
    <w:abstractNumId w:val="8"/>
  </w:num>
  <w:num w:numId="188">
    <w:abstractNumId w:val="8"/>
  </w:num>
  <w:num w:numId="189">
    <w:abstractNumId w:val="8"/>
  </w:num>
  <w:num w:numId="190">
    <w:abstractNumId w:val="8"/>
  </w:num>
  <w:num w:numId="191">
    <w:abstractNumId w:val="8"/>
  </w:num>
  <w:num w:numId="192">
    <w:abstractNumId w:val="8"/>
  </w:num>
  <w:num w:numId="193">
    <w:abstractNumId w:val="8"/>
  </w:num>
  <w:num w:numId="194">
    <w:abstractNumId w:val="8"/>
  </w:num>
  <w:num w:numId="195">
    <w:abstractNumId w:val="8"/>
  </w:num>
  <w:num w:numId="196">
    <w:abstractNumId w:val="8"/>
  </w:num>
  <w:num w:numId="197">
    <w:abstractNumId w:val="8"/>
  </w:num>
  <w:num w:numId="198">
    <w:abstractNumId w:val="8"/>
  </w:num>
  <w:num w:numId="199">
    <w:abstractNumId w:val="8"/>
  </w:num>
  <w:num w:numId="200">
    <w:abstractNumId w:val="8"/>
  </w:num>
  <w:num w:numId="201">
    <w:abstractNumId w:val="8"/>
  </w:num>
  <w:num w:numId="202">
    <w:abstractNumId w:val="8"/>
  </w:num>
  <w:num w:numId="203">
    <w:abstractNumId w:val="8"/>
  </w:num>
  <w:num w:numId="204">
    <w:abstractNumId w:val="8"/>
  </w:num>
  <w:num w:numId="205">
    <w:abstractNumId w:val="8"/>
  </w:num>
  <w:num w:numId="206">
    <w:abstractNumId w:val="8"/>
  </w:num>
  <w:num w:numId="207">
    <w:abstractNumId w:val="8"/>
  </w:num>
  <w:num w:numId="208">
    <w:abstractNumId w:val="8"/>
  </w:num>
  <w:num w:numId="209">
    <w:abstractNumId w:val="8"/>
  </w:num>
  <w:num w:numId="210">
    <w:abstractNumId w:val="8"/>
  </w:num>
  <w:num w:numId="211">
    <w:abstractNumId w:val="8"/>
  </w:num>
  <w:num w:numId="212">
    <w:abstractNumId w:val="8"/>
  </w:num>
  <w:num w:numId="213">
    <w:abstractNumId w:val="8"/>
  </w:num>
  <w:num w:numId="214">
    <w:abstractNumId w:val="8"/>
  </w:num>
  <w:num w:numId="215">
    <w:abstractNumId w:val="8"/>
  </w:num>
  <w:num w:numId="216">
    <w:abstractNumId w:val="8"/>
  </w:num>
  <w:num w:numId="217">
    <w:abstractNumId w:val="8"/>
  </w:num>
  <w:num w:numId="218">
    <w:abstractNumId w:val="8"/>
  </w:num>
  <w:num w:numId="219">
    <w:abstractNumId w:val="8"/>
  </w:num>
  <w:num w:numId="220">
    <w:abstractNumId w:val="8"/>
  </w:num>
  <w:num w:numId="221">
    <w:abstractNumId w:val="8"/>
  </w:num>
  <w:num w:numId="222">
    <w:abstractNumId w:val="8"/>
  </w:num>
  <w:num w:numId="223">
    <w:abstractNumId w:val="8"/>
  </w:num>
  <w:num w:numId="224">
    <w:abstractNumId w:val="8"/>
  </w:num>
  <w:num w:numId="225">
    <w:abstractNumId w:val="8"/>
  </w:num>
  <w:num w:numId="226">
    <w:abstractNumId w:val="8"/>
  </w:num>
  <w:num w:numId="227">
    <w:abstractNumId w:val="8"/>
  </w:num>
  <w:num w:numId="228">
    <w:abstractNumId w:val="8"/>
  </w:num>
  <w:num w:numId="229">
    <w:abstractNumId w:val="8"/>
  </w:num>
  <w:num w:numId="230">
    <w:abstractNumId w:val="8"/>
  </w:num>
  <w:num w:numId="231">
    <w:abstractNumId w:val="8"/>
  </w:num>
  <w:num w:numId="232">
    <w:abstractNumId w:val="8"/>
  </w:num>
  <w:num w:numId="233">
    <w:abstractNumId w:val="8"/>
  </w:num>
  <w:num w:numId="234">
    <w:abstractNumId w:val="8"/>
  </w:num>
  <w:num w:numId="235">
    <w:abstractNumId w:val="8"/>
  </w:num>
  <w:num w:numId="236">
    <w:abstractNumId w:val="8"/>
  </w:num>
  <w:num w:numId="237">
    <w:abstractNumId w:val="8"/>
  </w:num>
  <w:num w:numId="238">
    <w:abstractNumId w:val="8"/>
  </w:num>
  <w:num w:numId="239">
    <w:abstractNumId w:val="8"/>
  </w:num>
  <w:num w:numId="240">
    <w:abstractNumId w:val="8"/>
  </w:num>
  <w:num w:numId="241">
    <w:abstractNumId w:val="8"/>
  </w:num>
  <w:num w:numId="242">
    <w:abstractNumId w:val="8"/>
  </w:num>
  <w:num w:numId="243">
    <w:abstractNumId w:val="8"/>
  </w:num>
  <w:num w:numId="244">
    <w:abstractNumId w:val="8"/>
  </w:num>
  <w:num w:numId="245">
    <w:abstractNumId w:val="8"/>
  </w:num>
  <w:num w:numId="246">
    <w:abstractNumId w:val="8"/>
  </w:num>
  <w:num w:numId="247">
    <w:abstractNumId w:val="8"/>
  </w:num>
  <w:num w:numId="248">
    <w:abstractNumId w:val="8"/>
  </w:num>
  <w:num w:numId="249">
    <w:abstractNumId w:val="8"/>
  </w:num>
  <w:num w:numId="250">
    <w:abstractNumId w:val="8"/>
  </w:num>
  <w:num w:numId="251">
    <w:abstractNumId w:val="8"/>
  </w:num>
  <w:num w:numId="252">
    <w:abstractNumId w:val="8"/>
  </w:num>
  <w:num w:numId="253">
    <w:abstractNumId w:val="8"/>
  </w:num>
  <w:num w:numId="254">
    <w:abstractNumId w:val="8"/>
  </w:num>
  <w:num w:numId="255">
    <w:abstractNumId w:val="8"/>
  </w:num>
  <w:num w:numId="256">
    <w:abstractNumId w:val="8"/>
  </w:num>
  <w:num w:numId="257">
    <w:abstractNumId w:val="8"/>
  </w:num>
  <w:num w:numId="258">
    <w:abstractNumId w:val="8"/>
  </w:num>
  <w:num w:numId="259">
    <w:abstractNumId w:val="8"/>
  </w:num>
  <w:num w:numId="260">
    <w:abstractNumId w:val="8"/>
  </w:num>
  <w:num w:numId="261">
    <w:abstractNumId w:val="8"/>
  </w:num>
  <w:num w:numId="262">
    <w:abstractNumId w:val="8"/>
  </w:num>
  <w:num w:numId="263">
    <w:abstractNumId w:val="8"/>
  </w:num>
  <w:num w:numId="264">
    <w:abstractNumId w:val="8"/>
  </w:num>
  <w:num w:numId="265">
    <w:abstractNumId w:val="8"/>
  </w:num>
  <w:num w:numId="266">
    <w:abstractNumId w:val="8"/>
  </w:num>
  <w:num w:numId="267">
    <w:abstractNumId w:val="8"/>
  </w:num>
  <w:num w:numId="268">
    <w:abstractNumId w:val="8"/>
  </w:num>
  <w:num w:numId="269">
    <w:abstractNumId w:val="8"/>
  </w:num>
  <w:num w:numId="270">
    <w:abstractNumId w:val="8"/>
  </w:num>
  <w:num w:numId="271">
    <w:abstractNumId w:val="8"/>
  </w:num>
  <w:num w:numId="272">
    <w:abstractNumId w:val="8"/>
  </w:num>
  <w:num w:numId="273">
    <w:abstractNumId w:val="8"/>
  </w:num>
  <w:num w:numId="274">
    <w:abstractNumId w:val="8"/>
  </w:num>
  <w:num w:numId="275">
    <w:abstractNumId w:val="8"/>
  </w:num>
  <w:num w:numId="276">
    <w:abstractNumId w:val="8"/>
  </w:num>
  <w:num w:numId="277">
    <w:abstractNumId w:val="8"/>
  </w:num>
  <w:num w:numId="278">
    <w:abstractNumId w:val="8"/>
  </w:num>
  <w:num w:numId="279">
    <w:abstractNumId w:val="8"/>
  </w:num>
  <w:num w:numId="280">
    <w:abstractNumId w:val="8"/>
  </w:num>
  <w:num w:numId="281">
    <w:abstractNumId w:val="8"/>
  </w:num>
  <w:num w:numId="282">
    <w:abstractNumId w:val="8"/>
  </w:num>
</w:numbering>
</file>

<file path=word/settings.xml><?xml version="1.0" encoding="utf-8"?>
<w:settings xmlns:w="http://schemas.openxmlformats.org/wordprocessingml/2006/main">
  <w:zoom w:percent="14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1958d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link w:val="Nvel3R"/>
    <w:qFormat/>
    <w:rsid w:val="001958d0"/>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name w:val="Unresolved Mention"/>
    <w:basedOn w:val="DefaultParagraphFont"/>
    <w:uiPriority w:val="99"/>
    <w:semiHidden/>
    <w:unhideWhenUsed/>
    <w:qFormat/>
    <w:rsid w:val="004d7421"/>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1958d0"/>
    <w:pPr>
      <w:numPr>
        <w:ilvl w:val="0"/>
        <w:numId w:val="1"/>
      </w:num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1958d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1958d0"/>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1958d0"/>
    <w:pPr>
      <w:ind w:left="567" w:hanging="0"/>
    </w:pPr>
    <w:rPr>
      <w:color w:val="auto"/>
    </w:rPr>
  </w:style>
  <w:style w:type="paragraph" w:styleId="Nivel5" w:customStyle="1">
    <w:name w:val="Nivel 5"/>
    <w:basedOn w:val="Nivel4"/>
    <w:qFormat/>
    <w:rsid w:val="001958d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1958d0"/>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numPr>
        <w:ilvl w:val="0"/>
        <w:numId w:val="0"/>
      </w:numPr>
      <w:ind w:left="357" w:hanging="0"/>
      <w:outlineLvl w:val="1"/>
    </w:pPr>
    <w:rPr>
      <w:color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file>

<file path=customXml/itemProps2.xml><?xml version="1.0" encoding="utf-8"?>
<ds:datastoreItem xmlns:ds="http://schemas.openxmlformats.org/officeDocument/2006/customXml" ds:itemID="{692018DD-CD91-4DB8-9297-B61715C85DC2}"/>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file>

<file path=docProps/app.xml><?xml version="1.0" encoding="utf-8"?>
<Properties xmlns="http://schemas.openxmlformats.org/officeDocument/2006/extended-properties" xmlns:vt="http://schemas.openxmlformats.org/officeDocument/2006/docPropsVTypes">
  <Template>Normal.dotm</Template>
  <TotalTime>1279</TotalTime>
  <Application>LibreOffice/7.4.3.2$Windows_X86_64 LibreOffice_project/1048a8393ae2eeec98dff31b5c133c5f1d08b890</Application>
  <AppVersion>15.0000</AppVersion>
  <Pages>11</Pages>
  <Words>4684</Words>
  <Characters>26223</Characters>
  <CharactersWithSpaces>30646</CharactersWithSpaces>
  <Paragraphs>206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dcterms:modified xsi:type="dcterms:W3CDTF">2023-11-28T11:41:38Z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